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da651ebf13f795302147115f1bbb846b860b216"/>
    <w:p>
      <w:pPr>
        <w:pStyle w:val="Heading1"/>
      </w:pPr>
      <w:r>
        <w:t xml:space="preserve">Fiche de séance — Histoire, classe de 4e (cycle 4)</w:t>
      </w:r>
    </w:p>
    <w:bookmarkStart w:id="38" w:name="Xe4ddaccf1c2ff1b4fcd664d3270a255f96de407"/>
    <w:p>
      <w:pPr>
        <w:pStyle w:val="Heading2"/>
      </w:pPr>
      <w:r>
        <w:t xml:space="preserve">« 1789 : de la monarchie absolue à la souveraineté nationale »</w:t>
      </w:r>
    </w:p>
    <w:bookmarkStart w:id="27" w:name="informations-générales"/>
    <w:p>
      <w:pPr>
        <w:pStyle w:val="Heading3"/>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Rubrique</w:t>
            </w:r>
          </w:p>
        </w:tc>
        <w:tc>
          <w:tcPr/>
          <w:p>
            <w:pPr>
              <w:pStyle w:val="Compact"/>
              <w:jc w:val="left"/>
            </w:pPr>
            <w:r>
              <w:t xml:space="preserve">Détail</w:t>
            </w:r>
          </w:p>
        </w:tc>
      </w:tr>
      <w:tr>
        <w:tc>
          <w:tcPr/>
          <w:p>
            <w:pPr>
              <w:pStyle w:val="Compact"/>
              <w:jc w:val="left"/>
            </w:pPr>
            <w:r>
              <w:t xml:space="preserve">Discipline</w:t>
            </w:r>
          </w:p>
        </w:tc>
        <w:tc>
          <w:tcPr/>
          <w:p>
            <w:pPr>
              <w:pStyle w:val="Compact"/>
              <w:jc w:val="left"/>
            </w:pPr>
            <w:r>
              <w:t xml:space="preserve">Histoire</w:t>
            </w:r>
          </w:p>
        </w:tc>
      </w:tr>
      <w:tr>
        <w:tc>
          <w:tcPr/>
          <w:p>
            <w:pPr>
              <w:pStyle w:val="Compact"/>
              <w:jc w:val="left"/>
            </w:pPr>
            <w:r>
              <w:t xml:space="preserve">Niveau / cycle</w:t>
            </w:r>
          </w:p>
        </w:tc>
        <w:tc>
          <w:tcPr/>
          <w:p>
            <w:pPr>
              <w:pStyle w:val="Compact"/>
              <w:jc w:val="left"/>
            </w:pPr>
            <w:r>
              <w:t xml:space="preserve">Classe de 4e — cycle 4</w:t>
            </w:r>
          </w:p>
        </w:tc>
      </w:tr>
      <w:tr>
        <w:tc>
          <w:tcPr/>
          <w:p>
            <w:pPr>
              <w:pStyle w:val="Compact"/>
              <w:jc w:val="left"/>
            </w:pPr>
            <w:r>
              <w:t xml:space="preserve">Thème du programme</w:t>
            </w:r>
          </w:p>
        </w:tc>
        <w:tc>
          <w:tcPr/>
          <w:p>
            <w:pPr>
              <w:pStyle w:val="Compact"/>
              <w:jc w:val="left"/>
            </w:pPr>
            <w:r>
              <w:t xml:space="preserve">Thème 1 : « Le XVIIIe siècle. Expansions, Lumières et révolutions » ; sous-thème « La Révolution française et l’Empire »</w:t>
            </w:r>
          </w:p>
        </w:tc>
      </w:tr>
      <w:tr>
        <w:tc>
          <w:tcPr/>
          <w:p>
            <w:pPr>
              <w:pStyle w:val="Compact"/>
              <w:jc w:val="left"/>
            </w:pPr>
            <w:r>
              <w:t xml:space="preserve">Titre de la séance</w:t>
            </w:r>
          </w:p>
        </w:tc>
        <w:tc>
          <w:tcPr/>
          <w:p>
            <w:pPr>
              <w:pStyle w:val="Compact"/>
              <w:jc w:val="left"/>
            </w:pPr>
            <w:r>
              <w:t xml:space="preserve">1789 : de la monarchie absolue à la souveraineté nationale</w:t>
            </w:r>
          </w:p>
        </w:tc>
      </w:tr>
      <w:tr>
        <w:tc>
          <w:tcPr/>
          <w:p>
            <w:pPr>
              <w:pStyle w:val="Compact"/>
              <w:jc w:val="left"/>
            </w:pPr>
            <w:r>
              <w:t xml:space="preserve">Place dans la séquence</w:t>
            </w:r>
          </w:p>
        </w:tc>
        <w:tc>
          <w:tcPr/>
          <w:p>
            <w:pPr>
              <w:pStyle w:val="Compact"/>
              <w:jc w:val="left"/>
            </w:pPr>
            <w:r>
              <w:t xml:space="preserve">Séance 2 ou 3 de la séquence sur la Révolution française (après une séance sur la crise de la monarchie et les Lumières)</w:t>
            </w:r>
          </w:p>
        </w:tc>
      </w:tr>
      <w:tr>
        <w:tc>
          <w:tcPr/>
          <w:p>
            <w:pPr>
              <w:pStyle w:val="Compact"/>
              <w:jc w:val="left"/>
            </w:pPr>
            <w:r>
              <w:t xml:space="preserve">Durée</w:t>
            </w:r>
          </w:p>
        </w:tc>
        <w:tc>
          <w:tcPr/>
          <w:p>
            <w:pPr>
              <w:pStyle w:val="Compact"/>
              <w:jc w:val="left"/>
            </w:pPr>
            <w:r>
              <w:t xml:space="preserve">Créneau de 55 min ≈ 45 min effectives (accueil et rangement décomptés)</w:t>
            </w:r>
          </w:p>
        </w:tc>
      </w:tr>
      <w:tr>
        <w:tc>
          <w:tcPr/>
          <w:p>
            <w:pPr>
              <w:pStyle w:val="Compact"/>
              <w:jc w:val="left"/>
            </w:pPr>
            <w:r>
              <w:t xml:space="preserve">Modalités</w:t>
            </w:r>
          </w:p>
        </w:tc>
        <w:tc>
          <w:tcPr/>
          <w:p>
            <w:pPr>
              <w:pStyle w:val="Compact"/>
              <w:jc w:val="left"/>
            </w:pPr>
            <w:r>
              <w:t xml:space="preserve">Travail en classe entière + analyse de documents en binômes</w:t>
            </w:r>
          </w:p>
        </w:tc>
      </w:tr>
      <w:tr>
        <w:tc>
          <w:tcPr/>
          <w:p>
            <w:pPr>
              <w:pStyle w:val="Compact"/>
              <w:jc w:val="left"/>
            </w:pPr>
            <w:r>
              <w:t xml:space="preserve">Supports</w:t>
            </w:r>
          </w:p>
        </w:tc>
        <w:tc>
          <w:tcPr/>
          <w:p>
            <w:pPr>
              <w:pStyle w:val="Compact"/>
              <w:jc w:val="left"/>
            </w:pPr>
            <w:r>
              <w:t xml:space="preserve">3 documents (1 texte fondateur, 1 gravure, 1 frise) — voir Note sur les sources</w:t>
            </w:r>
          </w:p>
        </w:tc>
      </w:tr>
      <w:tr>
        <w:tc>
          <w:tcPr/>
          <w:p>
            <w:pPr>
              <w:pStyle w:val="Compact"/>
              <w:jc w:val="left"/>
            </w:pPr>
            <w:r>
              <w:t xml:space="preserve">Prérequis</w:t>
            </w:r>
          </w:p>
        </w:tc>
        <w:tc>
          <w:tcPr/>
          <w:p>
            <w:pPr>
              <w:pStyle w:val="Compact"/>
              <w:jc w:val="left"/>
            </w:pPr>
            <w:r>
              <w:t xml:space="preserve">Notions de monarchie absolue, de droit divin, de société d’ordres (privilégiés / Tiers État) ; repère « Louis XIV » du cycle 3</w:t>
            </w:r>
          </w:p>
        </w:tc>
      </w:tr>
    </w:tbl>
    <w:p>
      <w:pPr>
        <w:pStyle w:val="Heading3"/>
      </w:pPr>
      <w:bookmarkStart w:id="20" w:name="note-sur-les-sources"/>
      <w:r>
        <w:t xml:space="preserve">Note sur les sources</w:t>
      </w:r>
      <w:bookmarkEnd w:id="20"/>
    </w:p>
    <w:p>
      <w:pPr>
        <w:pStyle w:val="BlockText"/>
      </w:pPr>
      <w:r>
        <w:t xml:space="preserve">Les documents ci-dessous sont du domaine public.</w:t>
      </w:r>
      <w:r>
        <w:t xml:space="preserve"> </w:t>
      </w:r>
      <w:r>
        <w:rPr>
          <w:bCs/>
          <w:b/>
        </w:rPr>
        <w:t xml:space="preserve">Aucune URL de document précis n’est inventée</w:t>
      </w:r>
      <w:r>
        <w:t xml:space="preserve"> </w:t>
      </w:r>
      <w:r>
        <w:t xml:space="preserve">: seuls des</w:t>
      </w:r>
      <w:r>
        <w:t xml:space="preserve"> </w:t>
      </w:r>
      <w:r>
        <w:rPr>
          <w:bCs/>
          <w:b/>
        </w:rPr>
        <w:t xml:space="preserve">liens de recherche</w:t>
      </w:r>
      <w:r>
        <w:t xml:space="preserve"> </w:t>
      </w:r>
      <w:r>
        <w:t xml:space="preserve">cliquables sont fournis, à vérifier avant la séance.</w:t>
      </w:r>
    </w:p>
    <w:p>
      <w:pPr>
        <w:numPr>
          <w:ilvl w:val="0"/>
          <w:numId w:val="1001"/>
        </w:numPr>
        <w:pStyle w:val="Compact"/>
      </w:pPr>
      <w:r>
        <w:rPr>
          <w:bCs/>
          <w:b/>
        </w:rPr>
        <w:t xml:space="preserve">Document 1 — Déclaration des Droits de l’Homme et du Citoyen du 26 août 1789 (extraits : Préambule, art. 1, art. 3, art. 6)</w:t>
      </w:r>
      <w:r>
        <w:t xml:space="preserve"> </w:t>
      </w:r>
      <w:r>
        <w:t xml:space="preserve">— texte du domaine public :</w:t>
      </w:r>
      <w:r>
        <w:t xml:space="preserve"> </w:t>
      </w:r>
      <w:hyperlink r:id="rId21">
        <w:r>
          <w:rPr>
            <w:rStyle w:val="Hyperlink"/>
          </w:rPr>
          <w:t xml:space="preserve">Recherche Wikisource « Déclaration des droits de l’homme et du citoyen 1789 »</w:t>
        </w:r>
      </w:hyperlink>
    </w:p>
    <w:p>
      <w:pPr>
        <w:numPr>
          <w:ilvl w:val="0"/>
          <w:numId w:val="1001"/>
        </w:numPr>
        <w:pStyle w:val="Compact"/>
      </w:pPr>
      <w:r>
        <w:rPr>
          <w:bCs/>
          <w:b/>
        </w:rPr>
        <w:t xml:space="preserve">Document 2 — gravure du Serment du Jeu de paume (20 juin 1789), d’après Jacques-Louis David</w:t>
      </w:r>
      <w:r>
        <w:t xml:space="preserve"> </w:t>
      </w:r>
      <w:r>
        <w:t xml:space="preserve">— image du domaine public :</w:t>
      </w:r>
      <w:r>
        <w:t xml:space="preserve"> </w:t>
      </w:r>
      <w:hyperlink r:id="rId22">
        <w:r>
          <w:rPr>
            <w:rStyle w:val="Hyperlink"/>
          </w:rPr>
          <w:t xml:space="preserve">Wikimedia Commons « Tennis Court Oath David »</w:t>
        </w:r>
      </w:hyperlink>
      <w:r>
        <w:t xml:space="preserve"> </w:t>
      </w:r>
      <w:r>
        <w:t xml:space="preserve">·</w:t>
      </w:r>
      <w:r>
        <w:t xml:space="preserve"> </w:t>
      </w:r>
      <w:hyperlink r:id="rId23">
        <w:r>
          <w:rPr>
            <w:rStyle w:val="Hyperlink"/>
          </w:rPr>
          <w:t xml:space="preserve">Google Images « Serment du Jeu de paume David gravure »</w:t>
        </w:r>
      </w:hyperlink>
    </w:p>
    <w:p>
      <w:pPr>
        <w:numPr>
          <w:ilvl w:val="0"/>
          <w:numId w:val="1001"/>
        </w:numPr>
        <w:pStyle w:val="Compact"/>
      </w:pPr>
      <w:r>
        <w:rPr>
          <w:bCs/>
          <w:b/>
        </w:rPr>
        <w:t xml:space="preserve">Document 2 bis (variante possible) — gravure de la prise de la Bastille (14 juillet 1789)</w:t>
      </w:r>
      <w:r>
        <w:t xml:space="preserve"> </w:t>
      </w:r>
      <w:r>
        <w:t xml:space="preserve">:</w:t>
      </w:r>
      <w:r>
        <w:t xml:space="preserve"> </w:t>
      </w:r>
      <w:hyperlink r:id="rId24">
        <w:r>
          <w:rPr>
            <w:rStyle w:val="Hyperlink"/>
          </w:rPr>
          <w:t xml:space="preserve">Wikimedia Commons « Storming of the Bastille 1789 »</w:t>
        </w:r>
      </w:hyperlink>
      <w:r>
        <w:t xml:space="preserve"> </w:t>
      </w:r>
      <w:r>
        <w:t xml:space="preserve">·</w:t>
      </w:r>
      <w:r>
        <w:t xml:space="preserve"> </w:t>
      </w:r>
      <w:hyperlink r:id="rId25">
        <w:r>
          <w:rPr>
            <w:rStyle w:val="Hyperlink"/>
          </w:rPr>
          <w:t xml:space="preserve">Google Images « prise de la Bastille 14 juillet 1789 gravure »</w:t>
        </w:r>
      </w:hyperlink>
    </w:p>
    <w:p>
      <w:pPr>
        <w:numPr>
          <w:ilvl w:val="0"/>
          <w:numId w:val="1001"/>
        </w:numPr>
        <w:pStyle w:val="Compact"/>
      </w:pPr>
      <w:r>
        <w:rPr>
          <w:bCs/>
          <w:b/>
        </w:rPr>
        <w:t xml:space="preserve">Document 3 — frise des journées de 1789</w:t>
      </w:r>
      <w:r>
        <w:t xml:space="preserve"> </w:t>
      </w:r>
      <w:r>
        <w:t xml:space="preserve">: construite par le professeur (voir Trace écrite). Repère pour vérification iconographique éventuelle de l’abolition des privilèges :</w:t>
      </w:r>
      <w:r>
        <w:t xml:space="preserve"> </w:t>
      </w:r>
      <w:hyperlink r:id="rId26">
        <w:r>
          <w:rPr>
            <w:rStyle w:val="Hyperlink"/>
          </w:rPr>
          <w:t xml:space="preserve">Wikimedia Commons « Abolition of feudalism France 1789 »</w:t>
        </w:r>
      </w:hyperlink>
    </w:p>
    <w:p>
      <w:r>
        <w:pict>
          <v:rect style="width:0;height:1.5pt" o:hralign="center" o:hrstd="t" o:hr="t"/>
        </w:pict>
      </w:r>
    </w:p>
    <w:bookmarkEnd w:id="27"/>
    <w:bookmarkStart w:id="28" w:name="attendus-du-programme-citation-exacte"/>
    <w:p>
      <w:pPr>
        <w:pStyle w:val="Heading3"/>
      </w:pPr>
      <w:r>
        <w:t xml:space="preserve">Attendus du programme (citation exacte)</w:t>
      </w:r>
    </w:p>
    <w:p>
      <w:pPr>
        <w:pStyle w:val="BlockText"/>
      </w:pPr>
      <w:r>
        <w:t xml:space="preserve">«</w:t>
      </w:r>
      <w:r>
        <w:t xml:space="preserve"> </w:t>
      </w:r>
      <w:r>
        <w:rPr>
          <w:bCs/>
          <w:b/>
        </w:rPr>
        <w:t xml:space="preserve">Le XVIIIe siècle. Expansions, Lumières et révolutions</w:t>
      </w:r>
      <w:r>
        <w:t xml:space="preserve"> </w:t>
      </w:r>
      <w:r>
        <w:t xml:space="preserve">[…] - La Révolution française et l’Empire : nouvel ordre politique et société révolutionnée en France et en Europe. »</w:t>
      </w:r>
    </w:p>
    <w:p>
      <w:pPr>
        <w:pStyle w:val="BlockText"/>
      </w:pPr>
      <w:r>
        <w:t xml:space="preserve">« On caractérise les apports de la Révolution française, dans l’ordre politique aussi bien qu’économique et social non seulement en France mais en Europe dans le contexte des guerres républicaines et impériales. […] On rappelle l’importance des grandes réformes administratives et sociales introduites par la Révolution puis l’Empire. »</w:t>
      </w:r>
    </w:p>
    <w:p>
      <w:pPr>
        <w:pStyle w:val="BlockText"/>
      </w:pPr>
      <w:r>
        <w:t xml:space="preserve">— Programme d’histoire-géographie du cycle 4, d’après le</w:t>
      </w:r>
      <w:r>
        <w:t xml:space="preserve"> </w:t>
      </w:r>
      <w:r>
        <w:rPr>
          <w:bCs/>
          <w:b/>
        </w:rPr>
        <w:t xml:space="preserve">BOEN n° 31 du 30 juillet 2020</w:t>
      </w:r>
      <w:r>
        <w:t xml:space="preserve">, classe de 4e, Thème 1,</w:t>
      </w:r>
      <w:r>
        <w:t xml:space="preserve"> </w:t>
      </w:r>
      <w:r>
        <w:rPr>
          <w:bCs/>
          <w:b/>
        </w:rPr>
        <w:t xml:space="preserve">page 83</w:t>
      </w:r>
      <w:r>
        <w:t xml:space="preserve"> </w:t>
      </w:r>
      <w:r>
        <w:t xml:space="preserve">(page 5 du PDF</w:t>
      </w:r>
      <w:r>
        <w:t xml:space="preserve"> </w:t>
      </w:r>
      <w:r>
        <w:rPr>
          <w:rStyle w:val="VerbatimChar"/>
        </w:rPr>
        <w:t xml:space="preserve">cycle4-histoire-geo.pdf</w:t>
      </w:r>
      <w:r>
        <w:t xml:space="preserve">).</w:t>
      </w:r>
    </w:p>
    <w:p>
      <w:pPr>
        <w:pStyle w:val="FirstParagraph"/>
      </w:pPr>
      <w:r>
        <w:rPr>
          <w:bCs/>
          <w:b/>
        </w:rPr>
        <w:t xml:space="preserve">Reformulation pour la séance.</w:t>
      </w:r>
      <w:r>
        <w:t xml:space="preserve"> </w:t>
      </w:r>
      <w:r>
        <w:t xml:space="preserve">La séance traite le cœur politique du sous-thème : le basculement de l’année 1789, où la France passe d’une monarchie absolue (le roi détient le pouvoir de droit divin) à un ordre nouveau fondé sur la</w:t>
      </w:r>
      <w:r>
        <w:t xml:space="preserve"> </w:t>
      </w:r>
      <w:r>
        <w:rPr>
          <w:bCs/>
          <w:b/>
        </w:rPr>
        <w:t xml:space="preserve">souveraineté de la Nation</w:t>
      </w:r>
      <w:r>
        <w:t xml:space="preserve">. On y caractérise concrètement le « nouvel ordre politique » annoncé par le programme à travers quatre repères fondateurs (Serment du Jeu de paume, prise de la Bastille, abolition des privilèges, Déclaration des Droits de l’Homme et du Citoyen). La séance ne couvre pas l’Empire ni la dimension européenne, traités dans des séances ultérieures de la séquence.</w:t>
      </w:r>
    </w:p>
    <w:p>
      <w:r>
        <w:pict>
          <v:rect style="width:0;height:1.5pt" o:hralign="center" o:hrstd="t" o:hr="t"/>
        </w:pict>
      </w:r>
    </w:p>
    <w:bookmarkEnd w:id="28"/>
    <w:bookmarkStart w:id="29" w:name="compétences-et-connaissances-visées"/>
    <w:p>
      <w:pPr>
        <w:pStyle w:val="Heading3"/>
      </w:pPr>
      <w:r>
        <w:t xml:space="preserve">Compétences et connaissances visées</w:t>
      </w:r>
    </w:p>
    <w:p>
      <w:pPr>
        <w:pStyle w:val="FirstParagraph"/>
      </w:pPr>
      <w:r>
        <w:rPr>
          <w:bCs/>
          <w:b/>
        </w:rPr>
        <w:t xml:space="preserve">Compétences travaillées (programme cycle 4, BOEN n° 31 du 30 juillet 2020, p. 80) :</w:t>
      </w:r>
    </w:p>
    <w:p>
      <w:pPr>
        <w:numPr>
          <w:ilvl w:val="0"/>
          <w:numId w:val="1002"/>
        </w:numPr>
        <w:pStyle w:val="Compact"/>
      </w:pPr>
      <w:r>
        <w:rPr>
          <w:bCs/>
          <w:b/>
        </w:rPr>
        <w:t xml:space="preserve">Analyser et comprendre un document</w:t>
      </w:r>
      <w:r>
        <w:t xml:space="preserve"> </w:t>
      </w:r>
      <w:r>
        <w:t xml:space="preserve">: « Comprendre le sens général d’un document » ; « Identifier le document et son point de vue particulier » ; « Extraire des informations pertinentes […], les classer, les hiérarchiser » ; « Utiliser ses connaissances pour expliciter, expliquer le document et exercer son esprit critique » (p. 80).</w:t>
      </w:r>
    </w:p>
    <w:p>
      <w:pPr>
        <w:numPr>
          <w:ilvl w:val="0"/>
          <w:numId w:val="1002"/>
        </w:numPr>
        <w:pStyle w:val="Compact"/>
      </w:pPr>
      <w:r>
        <w:rPr>
          <w:bCs/>
          <w:b/>
        </w:rPr>
        <w:t xml:space="preserve">Se repérer dans le temps : construire des repères historiques</w:t>
      </w:r>
      <w:r>
        <w:t xml:space="preserve"> </w:t>
      </w:r>
      <w:r>
        <w:t xml:space="preserve">— situer et ordonner les journées de 1789.</w:t>
      </w:r>
    </w:p>
    <w:p>
      <w:pPr>
        <w:numPr>
          <w:ilvl w:val="0"/>
          <w:numId w:val="1002"/>
        </w:numPr>
        <w:pStyle w:val="Compact"/>
      </w:pPr>
      <w:r>
        <w:rPr>
          <w:bCs/>
          <w:b/>
        </w:rPr>
        <w:t xml:space="preserve">Pratiquer différents langages</w:t>
      </w:r>
      <w:r>
        <w:t xml:space="preserve"> </w:t>
      </w:r>
      <w:r>
        <w:t xml:space="preserve">: « Écrire pour construire sa pensée et son savoir » ; s’exprimer à l’oral lors de la mise en commun (p. 80).</w:t>
      </w:r>
    </w:p>
    <w:p>
      <w:pPr>
        <w:numPr>
          <w:ilvl w:val="0"/>
          <w:numId w:val="1002"/>
        </w:numPr>
        <w:pStyle w:val="Compact"/>
      </w:pPr>
      <w:r>
        <w:rPr>
          <w:bCs/>
          <w:b/>
        </w:rPr>
        <w:t xml:space="preserve">Coopérer et mutualiser</w:t>
      </w:r>
      <w:r>
        <w:t xml:space="preserve"> </w:t>
      </w:r>
      <w:r>
        <w:t xml:space="preserve">: travail de binôme sur les documents (p. 81).</w:t>
      </w:r>
    </w:p>
    <w:p>
      <w:pPr>
        <w:pStyle w:val="FirstParagraph"/>
      </w:pPr>
      <w:r>
        <w:rPr>
          <w:bCs/>
          <w:b/>
        </w:rPr>
        <w:t xml:space="preserve">Connaissances :</w:t>
      </w:r>
    </w:p>
    <w:p>
      <w:pPr>
        <w:numPr>
          <w:ilvl w:val="0"/>
          <w:numId w:val="1003"/>
        </w:numPr>
        <w:pStyle w:val="Compact"/>
      </w:pPr>
      <w:r>
        <w:t xml:space="preserve">Repères 1789 :</w:t>
      </w:r>
      <w:r>
        <w:t xml:space="preserve"> </w:t>
      </w:r>
      <w:r>
        <w:rPr>
          <w:bCs/>
          <w:b/>
        </w:rPr>
        <w:t xml:space="preserve">Serment du Jeu de paume (20 juin 1789)</w:t>
      </w:r>
      <w:r>
        <w:t xml:space="preserve">,</w:t>
      </w:r>
      <w:r>
        <w:t xml:space="preserve"> </w:t>
      </w:r>
      <w:r>
        <w:rPr>
          <w:bCs/>
          <w:b/>
        </w:rPr>
        <w:t xml:space="preserve">prise de la Bastille (14 juillet 1789)</w:t>
      </w:r>
      <w:r>
        <w:t xml:space="preserve">,</w:t>
      </w:r>
      <w:r>
        <w:t xml:space="preserve"> </w:t>
      </w:r>
      <w:r>
        <w:rPr>
          <w:bCs/>
          <w:b/>
        </w:rPr>
        <w:t xml:space="preserve">abolition des privilèges (nuit du 4 août 1789)</w:t>
      </w:r>
      <w:r>
        <w:t xml:space="preserve">,</w:t>
      </w:r>
      <w:r>
        <w:t xml:space="preserve"> </w:t>
      </w:r>
      <w:r>
        <w:rPr>
          <w:bCs/>
          <w:b/>
        </w:rPr>
        <w:t xml:space="preserve">Déclaration des Droits de l’Homme et du Citoyen (26 août 1789)</w:t>
      </w:r>
      <w:r>
        <w:t xml:space="preserve">.</w:t>
      </w:r>
    </w:p>
    <w:p>
      <w:pPr>
        <w:numPr>
          <w:ilvl w:val="0"/>
          <w:numId w:val="1003"/>
        </w:numPr>
        <w:pStyle w:val="Compact"/>
      </w:pPr>
      <w:r>
        <w:t xml:space="preserve">Notions : monarchie absolue, droit divin, société d’ordres / privilèges, Assemblée nationale,</w:t>
      </w:r>
      <w:r>
        <w:t xml:space="preserve"> </w:t>
      </w:r>
      <w:r>
        <w:rPr>
          <w:bCs/>
          <w:b/>
        </w:rPr>
        <w:t xml:space="preserve">souveraineté nationale</w:t>
      </w:r>
      <w:r>
        <w:t xml:space="preserve">, citoyen, loi.</w:t>
      </w:r>
    </w:p>
    <w:p>
      <w:pPr>
        <w:numPr>
          <w:ilvl w:val="0"/>
          <w:numId w:val="1003"/>
        </w:numPr>
        <w:pStyle w:val="Compact"/>
      </w:pPr>
      <w:r>
        <w:t xml:space="preserve">Idée clé : la</w:t>
      </w:r>
      <w:r>
        <w:t xml:space="preserve"> </w:t>
      </w:r>
      <w:r>
        <w:rPr>
          <w:bCs/>
          <w:b/>
        </w:rPr>
        <w:t xml:space="preserve">souveraineté réside dans la Nation</w:t>
      </w:r>
      <w:r>
        <w:t xml:space="preserve"> </w:t>
      </w:r>
      <w:r>
        <w:t xml:space="preserve">(DDHC,</w:t>
      </w:r>
      <w:r>
        <w:t xml:space="preserve"> </w:t>
      </w:r>
      <w:r>
        <w:rPr>
          <w:bCs/>
          <w:b/>
        </w:rPr>
        <w:t xml:space="preserve">article 3</w:t>
      </w:r>
      <w:r>
        <w:t xml:space="preserve"> </w:t>
      </w:r>
      <w:r>
        <w:t xml:space="preserve">: « Le principe de toute souveraineté réside essentiellement dans la Nation »).</w:t>
      </w:r>
    </w:p>
    <w:p>
      <w:r>
        <w:pict>
          <v:rect style="width:0;height:1.5pt" o:hralign="center" o:hrstd="t" o:hr="t"/>
        </w:pict>
      </w:r>
    </w:p>
    <w:bookmarkEnd w:id="29"/>
    <w:bookmarkStart w:id="30" w:name="objectifs-formulés-côté-élève"/>
    <w:p>
      <w:pPr>
        <w:pStyle w:val="Heading3"/>
      </w:pPr>
      <w:r>
        <w:t xml:space="preserve">Objectifs (formulés côté élève)</w:t>
      </w:r>
    </w:p>
    <w:p>
      <w:pPr>
        <w:pStyle w:val="FirstParagraph"/>
      </w:pPr>
      <w:r>
        <w:t xml:space="preserve">À la fin de la séance, je suis capable de :</w:t>
      </w:r>
    </w:p>
    <w:p>
      <w:pPr>
        <w:numPr>
          <w:ilvl w:val="0"/>
          <w:numId w:val="1004"/>
        </w:numPr>
        <w:pStyle w:val="Compact"/>
      </w:pPr>
      <w:r>
        <w:rPr>
          <w:bCs/>
          <w:b/>
        </w:rPr>
        <w:t xml:space="preserve">raconter</w:t>
      </w:r>
      <w:r>
        <w:t xml:space="preserve"> </w:t>
      </w:r>
      <w:r>
        <w:t xml:space="preserve">ce qui change en 1789 : on passe d’un roi qui décide seul à une Nation qui détient le pouvoir ;</w:t>
      </w:r>
    </w:p>
    <w:p>
      <w:pPr>
        <w:numPr>
          <w:ilvl w:val="0"/>
          <w:numId w:val="1004"/>
        </w:numPr>
        <w:pStyle w:val="Compact"/>
      </w:pPr>
      <w:r>
        <w:rPr>
          <w:bCs/>
          <w:b/>
        </w:rPr>
        <w:t xml:space="preserve">placer dans l’ordre</w:t>
      </w:r>
      <w:r>
        <w:t xml:space="preserve"> </w:t>
      </w:r>
      <w:r>
        <w:t xml:space="preserve">les quatre grandes journées de 1789 et</w:t>
      </w:r>
      <w:r>
        <w:t xml:space="preserve"> </w:t>
      </w:r>
      <w:r>
        <w:rPr>
          <w:bCs/>
          <w:b/>
        </w:rPr>
        <w:t xml:space="preserve">dire</w:t>
      </w:r>
      <w:r>
        <w:t xml:space="preserve"> </w:t>
      </w:r>
      <w:r>
        <w:t xml:space="preserve">ce que chacune apporte ;</w:t>
      </w:r>
    </w:p>
    <w:p>
      <w:pPr>
        <w:numPr>
          <w:ilvl w:val="0"/>
          <w:numId w:val="1004"/>
        </w:numPr>
        <w:pStyle w:val="Compact"/>
      </w:pPr>
      <w:r>
        <w:rPr>
          <w:bCs/>
          <w:b/>
        </w:rPr>
        <w:t xml:space="preserve">expliquer</w:t>
      </w:r>
      <w:r>
        <w:t xml:space="preserve"> </w:t>
      </w:r>
      <w:r>
        <w:t xml:space="preserve">avec mes mots ce qu’est la « souveraineté nationale » en m’appuyant sur l’article 3 de la DDHC ;</w:t>
      </w:r>
    </w:p>
    <w:p>
      <w:pPr>
        <w:numPr>
          <w:ilvl w:val="0"/>
          <w:numId w:val="1004"/>
        </w:numPr>
        <w:pStyle w:val="Compact"/>
      </w:pPr>
      <w:r>
        <w:rPr>
          <w:bCs/>
          <w:b/>
        </w:rPr>
        <w:t xml:space="preserve">analyser un document</w:t>
      </w:r>
      <w:r>
        <w:t xml:space="preserve"> </w:t>
      </w:r>
      <w:r>
        <w:t xml:space="preserve">: dire de quoi il s’agit, qui en est l’auteur, ce qu’il montre et quel est son point de vue.</w:t>
      </w:r>
    </w:p>
    <w:p>
      <w:r>
        <w:pict>
          <v:rect style="width:0;height:1.5pt" o:hralign="center" o:hrstd="t" o:hr="t"/>
        </w:pict>
      </w:r>
    </w:p>
    <w:bookmarkEnd w:id="30"/>
    <w:bookmarkStart w:id="31" w:name="conceptions-et-erreurs-fréquentes"/>
    <w:p>
      <w:pPr>
        <w:pStyle w:val="Heading3"/>
      </w:pPr>
      <w:r>
        <w:t xml:space="preserve">Conceptions et erreurs fréquentes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Conception / erreur fréquente de l’élève</w:t>
            </w:r>
          </w:p>
        </w:tc>
        <w:tc>
          <w:tcPr/>
          <w:p>
            <w:pPr>
              <w:pStyle w:val="Compact"/>
              <w:jc w:val="left"/>
            </w:pPr>
            <w:r>
              <w:t xml:space="preserve">Réalité historique / point de vigilance</w:t>
            </w:r>
          </w:p>
        </w:tc>
      </w:tr>
      <w:tr>
        <w:tc>
          <w:tcPr/>
          <w:p>
            <w:pPr>
              <w:pStyle w:val="Compact"/>
              <w:jc w:val="left"/>
            </w:pPr>
            <w:r>
              <w:t xml:space="preserve">« La Révolution, c’est seulement la prise de la Bastille. »</w:t>
            </w:r>
          </w:p>
        </w:tc>
        <w:tc>
          <w:tcPr/>
          <w:p>
            <w:pPr>
              <w:pStyle w:val="Compact"/>
              <w:jc w:val="left"/>
            </w:pPr>
            <w:r>
              <w:t xml:space="preserve">La prise de la Bastille (14 juillet) est un symbole, mais l’année 1789 enchaîne plusieurs ruptures : le Serment du Jeu de paume (20 juin) marque déjà le basculement politique.</w:t>
            </w:r>
          </w:p>
        </w:tc>
      </w:tr>
      <w:tr>
        <w:tc>
          <w:tcPr/>
          <w:p>
            <w:pPr>
              <w:pStyle w:val="Compact"/>
              <w:jc w:val="left"/>
            </w:pPr>
            <w:r>
              <w:t xml:space="preserve">« Le roi est tué en 1789. »</w:t>
            </w:r>
          </w:p>
        </w:tc>
        <w:tc>
          <w:tcPr/>
          <w:p>
            <w:pPr>
              <w:pStyle w:val="Compact"/>
              <w:jc w:val="left"/>
            </w:pPr>
            <w:r>
              <w:t xml:space="preserve">Louis XVI n’est pas exécuté en 1789 (ce sera le 21 janvier 1793). En 1789, il perd son pouvoir absolu mais reste roi.</w:t>
            </w:r>
          </w:p>
        </w:tc>
      </w:tr>
      <w:tr>
        <w:tc>
          <w:tcPr/>
          <w:p>
            <w:pPr>
              <w:pStyle w:val="Compact"/>
              <w:jc w:val="left"/>
            </w:pPr>
            <w:r>
              <w:t xml:space="preserve">« La Déclaration des Droits de l’Homme rend tout le monde égal et riche. »</w:t>
            </w:r>
          </w:p>
        </w:tc>
        <w:tc>
          <w:tcPr/>
          <w:p>
            <w:pPr>
              <w:pStyle w:val="Compact"/>
              <w:jc w:val="left"/>
            </w:pPr>
            <w:r>
              <w:t xml:space="preserve">La DDHC proclame l’égalité</w:t>
            </w:r>
            <w:r>
              <w:t xml:space="preserve"> </w:t>
            </w:r>
            <w:r>
              <w:rPr>
                <w:bCs/>
                <w:b/>
              </w:rPr>
              <w:t xml:space="preserve">en droits</w:t>
            </w:r>
            <w:r>
              <w:t xml:space="preserve"> </w:t>
            </w:r>
            <w:r>
              <w:t xml:space="preserve">(art. 1). Elle ne supprime ni la pauvreté ni toutes les inégalités sociales ; les femmes et les esclaves n’en bénéficient pas pleinement.</w:t>
            </w:r>
          </w:p>
        </w:tc>
      </w:tr>
      <w:tr>
        <w:tc>
          <w:tcPr/>
          <w:p>
            <w:pPr>
              <w:pStyle w:val="Compact"/>
              <w:jc w:val="left"/>
            </w:pPr>
            <w:r>
              <w:t xml:space="preserve">« La Nation, c’est le roi. »</w:t>
            </w:r>
          </w:p>
        </w:tc>
        <w:tc>
          <w:tcPr/>
          <w:p>
            <w:pPr>
              <w:pStyle w:val="Compact"/>
              <w:jc w:val="left"/>
            </w:pPr>
            <w:r>
              <w:t xml:space="preserve">C’est précisément ce qui change : la souveraineté ne réside plus dans la personne du roi mais dans la</w:t>
            </w:r>
            <w:r>
              <w:t xml:space="preserve"> </w:t>
            </w:r>
            <w:r>
              <w:rPr>
                <w:bCs/>
                <w:b/>
              </w:rPr>
              <w:t xml:space="preserve">Nation</w:t>
            </w:r>
            <w:r>
              <w:t xml:space="preserve"> </w:t>
            </w:r>
            <w:r>
              <w:t xml:space="preserve">(DDHC art. 3).</w:t>
            </w:r>
          </w:p>
        </w:tc>
      </w:tr>
      <w:tr>
        <w:tc>
          <w:tcPr/>
          <w:p>
            <w:pPr>
              <w:pStyle w:val="Compact"/>
              <w:jc w:val="left"/>
            </w:pPr>
            <w:r>
              <w:t xml:space="preserve">« Abolir les privilèges = supprimer les impôts. »</w:t>
            </w:r>
          </w:p>
        </w:tc>
        <w:tc>
          <w:tcPr/>
          <w:p>
            <w:pPr>
              <w:pStyle w:val="Compact"/>
              <w:jc w:val="left"/>
            </w:pPr>
            <w:r>
              <w:t xml:space="preserve">La nuit du 4 août abolit les privilèges (avantages des nobles et du clergé) ; elle instaure au contraire l’égalité devant l’impôt, et non sa disparition.</w:t>
            </w:r>
          </w:p>
        </w:tc>
      </w:tr>
      <w:tr>
        <w:tc>
          <w:tcPr/>
          <w:p>
            <w:pPr>
              <w:pStyle w:val="Compact"/>
              <w:jc w:val="left"/>
            </w:pPr>
            <w:r>
              <w:t xml:space="preserve">Confusion « monarchie absolue » / « monarchie constitutionnelle ».</w:t>
            </w:r>
          </w:p>
        </w:tc>
        <w:tc>
          <w:tcPr/>
          <w:p>
            <w:pPr>
              <w:pStyle w:val="Compact"/>
              <w:jc w:val="left"/>
            </w:pPr>
            <w:r>
              <w:t xml:space="preserve">En 1789 on quitte l’absolutisme ; la monarchie constitutionnelle sera officialisée par la Constitution de 1791 (au-delà de cette séance).</w:t>
            </w:r>
          </w:p>
        </w:tc>
      </w:tr>
    </w:tbl>
    <w:p>
      <w:r>
        <w:pict>
          <v:rect style="width:0;height:1.5pt" o:hralign="center" o:hrstd="t" o:hr="t"/>
        </w:pict>
      </w:r>
    </w:p>
    <w:bookmarkEnd w:id="31"/>
    <w:bookmarkStart w:id="32" w:name="déroulement-détaillé-et-chronométré"/>
    <w:p>
      <w:pPr>
        <w:pStyle w:val="Heading3"/>
      </w:pPr>
      <w:r>
        <w:t xml:space="preserve">Déroulement détaillé et chronométré</w:t>
      </w:r>
    </w:p>
    <w:p>
      <w:pPr>
        <w:pStyle w:val="FirstParagraph"/>
      </w:pPr>
      <w:r>
        <w:t xml:space="preserve">Total :</w:t>
      </w:r>
      <w:r>
        <w:t xml:space="preserve"> </w:t>
      </w:r>
      <w:r>
        <w:rPr>
          <w:bCs/>
          <w:b/>
        </w:rPr>
        <w:t xml:space="preserve">55 minutes</w:t>
      </w:r>
      <w:r>
        <w:t xml:space="preserve"> </w:t>
      </w:r>
      <w:r>
        <w:t xml:space="preserve">(accueil + rangement inclus ; environ 45 min effectives de travail).</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Durée</w:t>
            </w:r>
          </w:p>
        </w:tc>
        <w:tc>
          <w:tcPr/>
          <w:p>
            <w:pPr>
              <w:pStyle w:val="Compact"/>
              <w:jc w:val="left"/>
            </w:pPr>
            <w:r>
              <w:t xml:space="preserve">Phase</w:t>
            </w:r>
          </w:p>
        </w:tc>
        <w:tc>
          <w:tcPr/>
          <w:p>
            <w:pPr>
              <w:pStyle w:val="Compact"/>
              <w:jc w:val="left"/>
            </w:pPr>
            <w:r>
              <w:t xml:space="preserve">Activité du professeur</w:t>
            </w:r>
          </w:p>
        </w:tc>
        <w:tc>
          <w:tcPr/>
          <w:p>
            <w:pPr>
              <w:pStyle w:val="Compact"/>
              <w:jc w:val="left"/>
            </w:pPr>
            <w:r>
              <w:t xml:space="preserve">Activité de l’élève</w:t>
            </w:r>
          </w:p>
        </w:tc>
        <w:tc>
          <w:tcPr/>
          <w:p>
            <w:pPr>
              <w:pStyle w:val="Compact"/>
              <w:jc w:val="left"/>
            </w:pPr>
            <w:r>
              <w:t xml:space="preserve">Modalité</w:t>
            </w:r>
          </w:p>
        </w:tc>
      </w:tr>
      <w:tr>
        <w:tc>
          <w:tcPr/>
          <w:p>
            <w:pPr>
              <w:pStyle w:val="Compact"/>
              <w:jc w:val="left"/>
            </w:pPr>
            <w:r>
              <w:t xml:space="preserve">0–3 min (3’)</w:t>
            </w:r>
          </w:p>
        </w:tc>
        <w:tc>
          <w:tcPr/>
          <w:p>
            <w:pPr>
              <w:pStyle w:val="Compact"/>
              <w:jc w:val="left"/>
            </w:pPr>
            <w:r>
              <w:t xml:space="preserve">Accueil</w:t>
            </w:r>
          </w:p>
        </w:tc>
        <w:tc>
          <w:tcPr/>
          <w:p>
            <w:pPr>
              <w:pStyle w:val="Compact"/>
              <w:jc w:val="left"/>
            </w:pPr>
            <w:r>
              <w:t xml:space="preserve">Accueil, installation, appel, distribution du dossier documentaire. Annonce du fil rouge.</w:t>
            </w:r>
          </w:p>
        </w:tc>
        <w:tc>
          <w:tcPr/>
          <w:p>
            <w:pPr>
              <w:pStyle w:val="Compact"/>
              <w:jc w:val="left"/>
            </w:pPr>
            <w:r>
              <w:t xml:space="preserve">S’installe, sort le matériel, prend le dossier.</w:t>
            </w:r>
          </w:p>
        </w:tc>
        <w:tc>
          <w:tcPr/>
          <w:p>
            <w:pPr>
              <w:pStyle w:val="Compact"/>
              <w:jc w:val="left"/>
            </w:pPr>
            <w:r>
              <w:t xml:space="preserve">Classe entière</w:t>
            </w:r>
          </w:p>
        </w:tc>
      </w:tr>
      <w:tr>
        <w:tc>
          <w:tcPr/>
          <w:p>
            <w:pPr>
              <w:pStyle w:val="Compact"/>
              <w:jc w:val="left"/>
            </w:pPr>
            <w:r>
              <w:t xml:space="preserve">3–8 min (5’)</w:t>
            </w:r>
          </w:p>
        </w:tc>
        <w:tc>
          <w:tcPr/>
          <w:p>
            <w:pPr>
              <w:pStyle w:val="Compact"/>
              <w:jc w:val="left"/>
            </w:pPr>
            <w:r>
              <w:t xml:space="preserve">Accroche / problématisation</w:t>
            </w:r>
          </w:p>
        </w:tc>
        <w:tc>
          <w:tcPr/>
          <w:p>
            <w:pPr>
              <w:pStyle w:val="Compact"/>
              <w:jc w:val="left"/>
            </w:pPr>
            <w:r>
              <w:t xml:space="preserve">Projette la gravure du Serment du Jeu de paume (Doc 2) sans la nommer. Question : « Que font ces hommes ? Pourquoi lèvent-ils la main ? » Note les hypothèses au tableau.</w:t>
            </w:r>
          </w:p>
        </w:tc>
        <w:tc>
          <w:tcPr/>
          <w:p>
            <w:pPr>
              <w:pStyle w:val="Compact"/>
              <w:jc w:val="left"/>
            </w:pPr>
            <w:r>
              <w:t xml:space="preserve">Observe, émet des hypothèses orales.</w:t>
            </w:r>
          </w:p>
        </w:tc>
        <w:tc>
          <w:tcPr/>
          <w:p>
            <w:pPr>
              <w:pStyle w:val="Compact"/>
              <w:jc w:val="left"/>
            </w:pPr>
            <w:r>
              <w:t xml:space="preserve">Oral collectif</w:t>
            </w:r>
          </w:p>
        </w:tc>
      </w:tr>
      <w:tr>
        <w:tc>
          <w:tcPr/>
          <w:p>
            <w:pPr>
              <w:pStyle w:val="Compact"/>
              <w:jc w:val="left"/>
            </w:pPr>
            <w:r>
              <w:t xml:space="preserve">8–12 min (4’)</w:t>
            </w:r>
          </w:p>
        </w:tc>
        <w:tc>
          <w:tcPr/>
          <w:p>
            <w:pPr>
              <w:pStyle w:val="Compact"/>
              <w:jc w:val="left"/>
            </w:pPr>
            <w:r>
              <w:t xml:space="preserve">Cadrage</w:t>
            </w:r>
          </w:p>
        </w:tc>
        <w:tc>
          <w:tcPr/>
          <w:p>
            <w:pPr>
              <w:pStyle w:val="Compact"/>
              <w:jc w:val="left"/>
            </w:pPr>
            <w:r>
              <w:t xml:space="preserve">Énonce la problématique :</w:t>
            </w:r>
            <w:r>
              <w:t xml:space="preserve"> </w:t>
            </w:r>
            <w:r>
              <w:rPr>
                <w:bCs/>
                <w:b/>
              </w:rPr>
              <w:t xml:space="preserve">« Comment, en 1789, le pouvoir passe-t-il du roi à la Nation ? »</w:t>
            </w:r>
            <w:r>
              <w:t xml:space="preserve"> </w:t>
            </w:r>
            <w:r>
              <w:t xml:space="preserve">Rappelle le point de départ (monarchie absolue, droit divin).</w:t>
            </w:r>
          </w:p>
        </w:tc>
        <w:tc>
          <w:tcPr/>
          <w:p>
            <w:pPr>
              <w:pStyle w:val="Compact"/>
              <w:jc w:val="left"/>
            </w:pPr>
            <w:r>
              <w:t xml:space="preserve">Note la problématique, réactive les prérequis.</w:t>
            </w:r>
          </w:p>
        </w:tc>
        <w:tc>
          <w:tcPr/>
          <w:p>
            <w:pPr>
              <w:pStyle w:val="Compact"/>
              <w:jc w:val="left"/>
            </w:pPr>
            <w:r>
              <w:t xml:space="preserve">Classe entière</w:t>
            </w:r>
          </w:p>
        </w:tc>
      </w:tr>
      <w:tr>
        <w:tc>
          <w:tcPr/>
          <w:p>
            <w:pPr>
              <w:pStyle w:val="Compact"/>
              <w:jc w:val="left"/>
            </w:pPr>
            <w:r>
              <w:t xml:space="preserve">12–30 min (18’)</w:t>
            </w:r>
          </w:p>
        </w:tc>
        <w:tc>
          <w:tcPr/>
          <w:p>
            <w:pPr>
              <w:pStyle w:val="Compact"/>
              <w:jc w:val="left"/>
            </w:pPr>
            <w:r>
              <w:t xml:space="preserve">Analyse de documents</w:t>
            </w:r>
            <w:r>
              <w:t xml:space="preserve"> </w:t>
            </w:r>
            <w:r>
              <w:rPr>
                <w:bCs/>
                <w:b/>
              </w:rPr>
              <w:t xml:space="preserve">en binômes</w:t>
            </w:r>
          </w:p>
        </w:tc>
        <w:tc>
          <w:tcPr/>
          <w:p>
            <w:pPr>
              <w:pStyle w:val="Compact"/>
              <w:jc w:val="left"/>
            </w:pPr>
            <w:r>
              <w:t xml:space="preserve">Distribue/projette la grille d’analyse (3 questions par doc). Circule, étaye les binômes en difficulté (voir Différenciation).</w:t>
            </w:r>
          </w:p>
        </w:tc>
        <w:tc>
          <w:tcPr/>
          <w:p>
            <w:pPr>
              <w:pStyle w:val="Compact"/>
              <w:jc w:val="left"/>
            </w:pPr>
            <w:r>
              <w:rPr>
                <w:bCs/>
                <w:b/>
              </w:rPr>
              <w:t xml:space="preserve">Par deux</w:t>
            </w:r>
            <w:r>
              <w:t xml:space="preserve"> </w:t>
            </w:r>
            <w:r>
              <w:t xml:space="preserve">: analyse le Doc 1 (DDHC, art. 1, 3, 6) et le Doc 2 (gravure). Repère : nature, auteur, idée principale, point de vue. Complète la grille.</w:t>
            </w:r>
          </w:p>
        </w:tc>
        <w:tc>
          <w:tcPr/>
          <w:p>
            <w:pPr>
              <w:pStyle w:val="Compact"/>
              <w:jc w:val="left"/>
            </w:pPr>
            <w:r>
              <w:t xml:space="preserve">Binômes</w:t>
            </w:r>
          </w:p>
        </w:tc>
      </w:tr>
      <w:tr>
        <w:tc>
          <w:tcPr/>
          <w:p>
            <w:pPr>
              <w:pStyle w:val="Compact"/>
              <w:jc w:val="left"/>
            </w:pPr>
            <w:r>
              <w:rPr>
                <w:bCs/>
                <w:b/>
              </w:rPr>
              <w:t xml:space="preserve">30–35 min (5’)</w:t>
            </w:r>
          </w:p>
        </w:tc>
        <w:tc>
          <w:tcPr/>
          <w:p>
            <w:pPr>
              <w:pStyle w:val="Compact"/>
              <w:jc w:val="left"/>
            </w:pPr>
            <w:r>
              <w:rPr>
                <w:bCs/>
                <w:b/>
              </w:rPr>
              <w:t xml:space="preserve">STOP PÉDAGOGIQUE</w:t>
            </w:r>
          </w:p>
        </w:tc>
        <w:tc>
          <w:tcPr/>
          <w:p>
            <w:pPr>
              <w:pStyle w:val="Compact"/>
              <w:jc w:val="left"/>
            </w:pPr>
            <w:r>
              <w:t xml:space="preserve">Interrompt le travail. Vérification éclair au tableau : « Que dit l’article 3 de la DDHC ? Qui détient désormais la souveraineté ? » Lève les confusions repérées (roi non exécuté ; égalité</w:t>
            </w:r>
            <w:r>
              <w:t xml:space="preserve"> </w:t>
            </w:r>
            <w:r>
              <w:rPr>
                <w:iCs/>
                <w:i/>
              </w:rPr>
              <w:t xml:space="preserve">en droits</w:t>
            </w:r>
            <w:r>
              <w:t xml:space="preserve">). Reformule la notion de souveraineté nationale.</w:t>
            </w:r>
          </w:p>
        </w:tc>
        <w:tc>
          <w:tcPr/>
          <w:p>
            <w:pPr>
              <w:pStyle w:val="Compact"/>
              <w:jc w:val="left"/>
            </w:pPr>
            <w:r>
              <w:t xml:space="preserve">Répond, confronte sa réponse, corrige sa grille si besoin.</w:t>
            </w:r>
          </w:p>
        </w:tc>
        <w:tc>
          <w:tcPr/>
          <w:p>
            <w:pPr>
              <w:pStyle w:val="Compact"/>
              <w:jc w:val="left"/>
            </w:pPr>
            <w:r>
              <w:t xml:space="preserve">Oral collectif</w:t>
            </w:r>
          </w:p>
        </w:tc>
      </w:tr>
      <w:tr>
        <w:tc>
          <w:tcPr/>
          <w:p>
            <w:pPr>
              <w:pStyle w:val="Compact"/>
              <w:jc w:val="left"/>
            </w:pPr>
            <w:r>
              <w:t xml:space="preserve">35–45 min (10’)</w:t>
            </w:r>
          </w:p>
        </w:tc>
        <w:tc>
          <w:tcPr/>
          <w:p>
            <w:pPr>
              <w:pStyle w:val="Compact"/>
              <w:jc w:val="left"/>
            </w:pPr>
            <w:r>
              <w:t xml:space="preserve">Mise en commun + construction</w:t>
            </w:r>
          </w:p>
        </w:tc>
        <w:tc>
          <w:tcPr/>
          <w:p>
            <w:pPr>
              <w:pStyle w:val="Compact"/>
              <w:jc w:val="left"/>
            </w:pPr>
            <w:r>
              <w:t xml:space="preserve">Anime la restitution. Fait verbaliser pour chaque document. Bâtit au tableau,</w:t>
            </w:r>
            <w:r>
              <w:t xml:space="preserve"> </w:t>
            </w:r>
            <w:r>
              <w:rPr>
                <w:bCs/>
                <w:b/>
              </w:rPr>
              <w:t xml:space="preserve">avec les élèves</w:t>
            </w:r>
            <w:r>
              <w:t xml:space="preserve">, la frise des 4 journées de 1789.</w:t>
            </w:r>
          </w:p>
        </w:tc>
        <w:tc>
          <w:tcPr/>
          <w:p>
            <w:pPr>
              <w:pStyle w:val="Compact"/>
              <w:jc w:val="left"/>
            </w:pPr>
            <w:r>
              <w:t xml:space="preserve">Restitue son analyse à l’oral, propose les dates et l’apport de chaque journée.</w:t>
            </w:r>
          </w:p>
        </w:tc>
        <w:tc>
          <w:tcPr/>
          <w:p>
            <w:pPr>
              <w:pStyle w:val="Compact"/>
              <w:jc w:val="left"/>
            </w:pPr>
            <w:r>
              <w:t xml:space="preserve">Co-construction</w:t>
            </w:r>
          </w:p>
        </w:tc>
      </w:tr>
      <w:tr>
        <w:tc>
          <w:tcPr/>
          <w:p>
            <w:pPr>
              <w:pStyle w:val="Compact"/>
              <w:jc w:val="left"/>
            </w:pPr>
            <w:r>
              <w:t xml:space="preserve">45–52 min (7’)</w:t>
            </w:r>
          </w:p>
        </w:tc>
        <w:tc>
          <w:tcPr/>
          <w:p>
            <w:pPr>
              <w:pStyle w:val="Compact"/>
              <w:jc w:val="left"/>
            </w:pPr>
            <w:r>
              <w:t xml:space="preserve">Trace écrite co-construite</w:t>
            </w:r>
          </w:p>
        </w:tc>
        <w:tc>
          <w:tcPr/>
          <w:p>
            <w:pPr>
              <w:pStyle w:val="Compact"/>
              <w:jc w:val="left"/>
            </w:pPr>
            <w:r>
              <w:t xml:space="preserve">Guide la rédaction collective de la trace (frise + phrase de synthèse sur la souveraineté nationale).</w:t>
            </w:r>
          </w:p>
        </w:tc>
        <w:tc>
          <w:tcPr/>
          <w:p>
            <w:pPr>
              <w:pStyle w:val="Compact"/>
              <w:jc w:val="left"/>
            </w:pPr>
            <w:r>
              <w:t xml:space="preserve">Complète la frise et la phrase de synthèse, écrit dans le cahier.</w:t>
            </w:r>
          </w:p>
        </w:tc>
        <w:tc>
          <w:tcPr/>
          <w:p>
            <w:pPr>
              <w:pStyle w:val="Compact"/>
              <w:jc w:val="left"/>
            </w:pPr>
            <w:r>
              <w:t xml:space="preserve">Classe entière</w:t>
            </w:r>
          </w:p>
        </w:tc>
      </w:tr>
      <w:tr>
        <w:tc>
          <w:tcPr/>
          <w:p>
            <w:pPr>
              <w:pStyle w:val="Compact"/>
              <w:jc w:val="left"/>
            </w:pPr>
            <w:r>
              <w:t xml:space="preserve">52–55 min (3’)</w:t>
            </w:r>
          </w:p>
        </w:tc>
        <w:tc>
          <w:tcPr/>
          <w:p>
            <w:pPr>
              <w:pStyle w:val="Compact"/>
              <w:jc w:val="left"/>
            </w:pPr>
            <w:r>
              <w:t xml:space="preserve">Bilan + rangement</w:t>
            </w:r>
          </w:p>
        </w:tc>
        <w:tc>
          <w:tcPr/>
          <w:p>
            <w:pPr>
              <w:pStyle w:val="Compact"/>
              <w:jc w:val="left"/>
            </w:pPr>
            <w:r>
              <w:t xml:space="preserve">Pose la question-bilan (« Qu’est-ce qui a basculé en 1789 ? ») et annonce la suite. Fait ranger.</w:t>
            </w:r>
          </w:p>
        </w:tc>
        <w:tc>
          <w:tcPr/>
          <w:p>
            <w:pPr>
              <w:pStyle w:val="Compact"/>
              <w:jc w:val="left"/>
            </w:pPr>
            <w:r>
              <w:t xml:space="preserve">Répond oralement, range, note le travail à faire.</w:t>
            </w:r>
          </w:p>
        </w:tc>
        <w:tc>
          <w:tcPr/>
          <w:p>
            <w:pPr>
              <w:pStyle w:val="Compact"/>
              <w:jc w:val="left"/>
            </w:pPr>
            <w:r>
              <w:t xml:space="preserve">Classe entière</w:t>
            </w:r>
          </w:p>
        </w:tc>
      </w:tr>
    </w:tbl>
    <w:p>
      <w:r>
        <w:pict>
          <v:rect style="width:0;height:1.5pt" o:hralign="center" o:hrstd="t" o:hr="t"/>
        </w:pict>
      </w:r>
    </w:p>
    <w:bookmarkEnd w:id="32"/>
    <w:bookmarkStart w:id="33" w:name="différenciation-3-niveaux"/>
    <w:p>
      <w:pPr>
        <w:pStyle w:val="Heading3"/>
      </w:pPr>
      <w:r>
        <w:t xml:space="preserve">Différenciation (3 niveaux)</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Niveau</w:t>
            </w:r>
          </w:p>
        </w:tc>
        <w:tc>
          <w:tcPr/>
          <w:p>
            <w:pPr>
              <w:pStyle w:val="Compact"/>
              <w:jc w:val="left"/>
            </w:pPr>
            <w:r>
              <w:t xml:space="preserve">Élèves concernés</w:t>
            </w:r>
          </w:p>
        </w:tc>
        <w:tc>
          <w:tcPr/>
          <w:p>
            <w:pPr>
              <w:pStyle w:val="Compact"/>
              <w:jc w:val="left"/>
            </w:pPr>
            <w:r>
              <w:t xml:space="preserve">Adaptation proposée</w:t>
            </w:r>
          </w:p>
        </w:tc>
      </w:tr>
      <w:tr>
        <w:tc>
          <w:tcPr/>
          <w:p>
            <w:pPr>
              <w:pStyle w:val="Compact"/>
              <w:jc w:val="left"/>
            </w:pPr>
            <w:r>
              <w:rPr>
                <w:bCs/>
                <w:b/>
              </w:rPr>
              <w:t xml:space="preserve">Soutien</w:t>
            </w:r>
          </w:p>
        </w:tc>
        <w:tc>
          <w:tcPr/>
          <w:p>
            <w:pPr>
              <w:pStyle w:val="Compact"/>
              <w:jc w:val="left"/>
            </w:pPr>
            <w:r>
              <w:t xml:space="preserve">Élèves en difficulté de lecture / de compréhension de consigne</w:t>
            </w:r>
          </w:p>
        </w:tc>
        <w:tc>
          <w:tcPr/>
          <w:p>
            <w:pPr>
              <w:pStyle w:val="Compact"/>
              <w:jc w:val="left"/>
            </w:pPr>
            <w:r>
              <w:t xml:space="preserve">Version simplifiée de la DDHC (art. 1 et 3 seulement, reformulés). « Boîte à outils » : lexique (monarchie absolue, privilège, Nation, souveraineté) et grille d’analyse pré-amorcée (1re ligne remplie en exemple). Étayage oral du professeur lors de la phase binômes.</w:t>
            </w:r>
          </w:p>
        </w:tc>
      </w:tr>
      <w:tr>
        <w:tc>
          <w:tcPr/>
          <w:p>
            <w:pPr>
              <w:pStyle w:val="Compact"/>
              <w:jc w:val="left"/>
            </w:pPr>
            <w:r>
              <w:rPr>
                <w:bCs/>
                <w:b/>
              </w:rPr>
              <w:t xml:space="preserve">Parcours standard</w:t>
            </w:r>
          </w:p>
        </w:tc>
        <w:tc>
          <w:tcPr/>
          <w:p>
            <w:pPr>
              <w:pStyle w:val="Compact"/>
              <w:jc w:val="left"/>
            </w:pPr>
            <w:r>
              <w:t xml:space="preserve">Majorité de la classe</w:t>
            </w:r>
          </w:p>
        </w:tc>
        <w:tc>
          <w:tcPr/>
          <w:p>
            <w:pPr>
              <w:pStyle w:val="Compact"/>
              <w:jc w:val="left"/>
            </w:pPr>
            <w:r>
              <w:t xml:space="preserve">Dossier complet (Doc 1 extraits art. 1, 3, 6 ; Doc 2 gravure). Grille d’analyse en autonomie (nature, auteur, idée, point de vue).</w:t>
            </w:r>
          </w:p>
        </w:tc>
      </w:tr>
      <w:tr>
        <w:tc>
          <w:tcPr/>
          <w:p>
            <w:pPr>
              <w:pStyle w:val="Compact"/>
              <w:jc w:val="left"/>
            </w:pPr>
            <w:r>
              <w:rPr>
                <w:bCs/>
                <w:b/>
              </w:rPr>
              <w:t xml:space="preserve">Approfondissement</w:t>
            </w:r>
          </w:p>
        </w:tc>
        <w:tc>
          <w:tcPr/>
          <w:p>
            <w:pPr>
              <w:pStyle w:val="Compact"/>
              <w:jc w:val="left"/>
            </w:pPr>
            <w:r>
              <w:t xml:space="preserve">Élèves rapides / à l’aise</w:t>
            </w:r>
          </w:p>
        </w:tc>
        <w:tc>
          <w:tcPr/>
          <w:p>
            <w:pPr>
              <w:pStyle w:val="Compact"/>
              <w:jc w:val="left"/>
            </w:pPr>
            <w:r>
              <w:t xml:space="preserve">Document supplémentaire (art. 6 sur la loi « expression de la volonté générale » ou gravure de la nuit du 4 août). Consigne enrichie : « En quoi l’article 3 s’oppose-t-il directement au droit divin du roi ? » Rédaction d’un paragraphe argumenté.</w:t>
            </w:r>
          </w:p>
        </w:tc>
      </w:tr>
    </w:tbl>
    <w:p>
      <w:pPr>
        <w:pStyle w:val="BodyText"/>
      </w:pPr>
      <w:r>
        <w:rPr>
          <w:iCs/>
          <w:i/>
        </w:rPr>
        <w:t xml:space="preserve">Inspiration directe du document Éduscol : la « boîte à outils » (lexique + repères) qui aide sans donner la réponse, et n’entre pas dans l’évaluation de la production finale.</w:t>
      </w:r>
    </w:p>
    <w:p>
      <w:r>
        <w:pict>
          <v:rect style="width:0;height:1.5pt" o:hralign="center" o:hrstd="t" o:hr="t"/>
        </w:pict>
      </w:r>
    </w:p>
    <w:bookmarkEnd w:id="33"/>
    <w:bookmarkStart w:id="34" w:name="trace-écrite-co-construite"/>
    <w:p>
      <w:pPr>
        <w:pStyle w:val="Heading3"/>
      </w:pPr>
      <w:r>
        <w:t xml:space="preserve">Trace écrite CO-CONSTRUITE</w:t>
      </w:r>
    </w:p>
    <w:p>
      <w:pPr>
        <w:pStyle w:val="FirstParagraph"/>
      </w:pPr>
      <w:r>
        <w:t xml:space="preserve">Construite avec les élèves lors des phases 35–52 min.</w:t>
      </w:r>
    </w:p>
    <w:p>
      <w:pPr>
        <w:pStyle w:val="BodyText"/>
      </w:pPr>
      <w:r>
        <w:rPr>
          <w:bCs/>
          <w:b/>
        </w:rPr>
        <w:t xml:space="preserve">1789 : l’année qui bascule</w:t>
      </w:r>
      <w:r>
        <w:t xml:space="preserve"> </w:t>
      </w:r>
      <w:r>
        <w:t xml:space="preserve">— frise co-construite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Date</w:t>
            </w:r>
          </w:p>
        </w:tc>
        <w:tc>
          <w:tcPr/>
          <w:p>
            <w:pPr>
              <w:pStyle w:val="Compact"/>
              <w:jc w:val="left"/>
            </w:pPr>
            <w:r>
              <w:t xml:space="preserve">Événement</w:t>
            </w:r>
          </w:p>
        </w:tc>
        <w:tc>
          <w:tcPr/>
          <w:p>
            <w:pPr>
              <w:pStyle w:val="Compact"/>
              <w:jc w:val="left"/>
            </w:pPr>
            <w:r>
              <w:t xml:space="preserve">Ce que cela change</w:t>
            </w:r>
          </w:p>
        </w:tc>
      </w:tr>
      <w:tr>
        <w:tc>
          <w:tcPr/>
          <w:p>
            <w:pPr>
              <w:pStyle w:val="Compact"/>
              <w:jc w:val="left"/>
            </w:pPr>
            <w:r>
              <w:rPr>
                <w:bCs/>
                <w:b/>
              </w:rPr>
              <w:t xml:space="preserve">20 juin 1789</w:t>
            </w:r>
          </w:p>
        </w:tc>
        <w:tc>
          <w:tcPr/>
          <w:p>
            <w:pPr>
              <w:pStyle w:val="Compact"/>
              <w:jc w:val="left"/>
            </w:pPr>
            <w:r>
              <w:t xml:space="preserve">Serment du Jeu de paume</w:t>
            </w:r>
          </w:p>
        </w:tc>
        <w:tc>
          <w:tcPr/>
          <w:p>
            <w:pPr>
              <w:pStyle w:val="Compact"/>
              <w:jc w:val="left"/>
            </w:pPr>
            <w:r>
              <w:t xml:space="preserve">Les députés du Tiers État, réunis en</w:t>
            </w:r>
            <w:r>
              <w:t xml:space="preserve"> </w:t>
            </w:r>
            <w:r>
              <w:rPr>
                <w:bCs/>
                <w:b/>
              </w:rPr>
              <w:t xml:space="preserve">Assemblée nationale</w:t>
            </w:r>
            <w:r>
              <w:t xml:space="preserve">, jurent de ne pas se séparer avant d’avoir donné une constitution à la France : ils défient le roi.</w:t>
            </w:r>
          </w:p>
        </w:tc>
      </w:tr>
      <w:tr>
        <w:tc>
          <w:tcPr/>
          <w:p>
            <w:pPr>
              <w:pStyle w:val="Compact"/>
              <w:jc w:val="left"/>
            </w:pPr>
            <w:r>
              <w:rPr>
                <w:bCs/>
                <w:b/>
              </w:rPr>
              <w:t xml:space="preserve">14 juillet 1789</w:t>
            </w:r>
          </w:p>
        </w:tc>
        <w:tc>
          <w:tcPr/>
          <w:p>
            <w:pPr>
              <w:pStyle w:val="Compact"/>
              <w:jc w:val="left"/>
            </w:pPr>
            <w:r>
              <w:t xml:space="preserve">Prise de la Bastille</w:t>
            </w:r>
          </w:p>
        </w:tc>
        <w:tc>
          <w:tcPr/>
          <w:p>
            <w:pPr>
              <w:pStyle w:val="Compact"/>
              <w:jc w:val="left"/>
            </w:pPr>
            <w:r>
              <w:t xml:space="preserve">Le peuple de Paris prend une prison-symbole du pouvoir royal : la révolution devient populaire.</w:t>
            </w:r>
          </w:p>
        </w:tc>
      </w:tr>
      <w:tr>
        <w:tc>
          <w:tcPr/>
          <w:p>
            <w:pPr>
              <w:pStyle w:val="Compact"/>
              <w:jc w:val="left"/>
            </w:pPr>
            <w:r>
              <w:rPr>
                <w:bCs/>
                <w:b/>
              </w:rPr>
              <w:t xml:space="preserve">Nuit du 4 août 1789</w:t>
            </w:r>
          </w:p>
        </w:tc>
        <w:tc>
          <w:tcPr/>
          <w:p>
            <w:pPr>
              <w:pStyle w:val="Compact"/>
              <w:jc w:val="left"/>
            </w:pPr>
            <w:r>
              <w:t xml:space="preserve">Abolition des privilèges</w:t>
            </w:r>
          </w:p>
        </w:tc>
        <w:tc>
          <w:tcPr/>
          <w:p>
            <w:pPr>
              <w:pStyle w:val="Compact"/>
              <w:jc w:val="left"/>
            </w:pPr>
            <w:r>
              <w:t xml:space="preserve">Fin des avantages de la noblesse et du clergé ; naissance de l’</w:t>
            </w:r>
            <w:r>
              <w:rPr>
                <w:bCs/>
                <w:b/>
              </w:rPr>
              <w:t xml:space="preserve">égalité devant la loi et l’impôt</w:t>
            </w:r>
            <w:r>
              <w:t xml:space="preserve">.</w:t>
            </w:r>
          </w:p>
        </w:tc>
      </w:tr>
      <w:tr>
        <w:tc>
          <w:tcPr/>
          <w:p>
            <w:pPr>
              <w:pStyle w:val="Compact"/>
              <w:jc w:val="left"/>
            </w:pPr>
            <w:r>
              <w:rPr>
                <w:bCs/>
                <w:b/>
              </w:rPr>
              <w:t xml:space="preserve">26 août 1789</w:t>
            </w:r>
          </w:p>
        </w:tc>
        <w:tc>
          <w:tcPr/>
          <w:p>
            <w:pPr>
              <w:pStyle w:val="Compact"/>
              <w:jc w:val="left"/>
            </w:pPr>
            <w:r>
              <w:t xml:space="preserve">Déclaration des Droits de l’Homme et du Citoyen</w:t>
            </w:r>
          </w:p>
        </w:tc>
        <w:tc>
          <w:tcPr/>
          <w:p>
            <w:pPr>
              <w:pStyle w:val="Compact"/>
              <w:jc w:val="left"/>
            </w:pPr>
            <w:r>
              <w:t xml:space="preserve">Proclamation des droits : liberté, égalité en droits, et</w:t>
            </w:r>
            <w:r>
              <w:t xml:space="preserve"> </w:t>
            </w:r>
            <w:r>
              <w:rPr>
                <w:bCs/>
                <w:b/>
              </w:rPr>
              <w:t xml:space="preserve">souveraineté de la Nation</w:t>
            </w:r>
            <w:r>
              <w:t xml:space="preserve"> </w:t>
            </w:r>
            <w:r>
              <w:t xml:space="preserve">(art. 3).</w:t>
            </w:r>
          </w:p>
        </w:tc>
      </w:tr>
    </w:tbl>
    <w:p>
      <w:pPr>
        <w:pStyle w:val="BodyText"/>
      </w:pPr>
      <w:r>
        <w:rPr>
          <w:bCs/>
          <w:b/>
        </w:rPr>
        <w:t xml:space="preserve">Phrase de synthèse (à compléter collectivement) :</w:t>
      </w:r>
      <w:r>
        <w:t xml:space="preserve"> </w:t>
      </w:r>
      <w:r>
        <w:t xml:space="preserve">En 1789, la France quitte la</w:t>
      </w:r>
      <w:r>
        <w:t xml:space="preserve"> </w:t>
      </w:r>
      <w:r>
        <w:rPr>
          <w:bCs/>
          <w:b/>
        </w:rPr>
        <w:t xml:space="preserve">monarchie absolue</w:t>
      </w:r>
      <w:r>
        <w:t xml:space="preserve">, où le roi gouvernait seul de</w:t>
      </w:r>
      <w:r>
        <w:t xml:space="preserve"> </w:t>
      </w:r>
      <w:r>
        <w:rPr>
          <w:bCs/>
          <w:b/>
        </w:rPr>
        <w:t xml:space="preserve">droit divin</w:t>
      </w:r>
      <w:r>
        <w:t xml:space="preserve">, pour un ordre nouveau où</w:t>
      </w:r>
      <w:r>
        <w:t xml:space="preserve"> </w:t>
      </w:r>
      <w:r>
        <w:rPr>
          <w:iCs/>
          <w:i/>
        </w:rPr>
        <w:t xml:space="preserve">« le principe de toute souveraineté réside essentiellement dans la Nation »</w:t>
      </w:r>
      <w:r>
        <w:t xml:space="preserve"> </w:t>
      </w:r>
      <w:r>
        <w:t xml:space="preserve">(</w:t>
      </w:r>
      <w:r>
        <w:rPr>
          <w:bCs/>
          <w:b/>
        </w:rPr>
        <w:t xml:space="preserve">DDHC, article 3</w:t>
      </w:r>
      <w:r>
        <w:t xml:space="preserve">). Le pouvoir appartient désormais aux</w:t>
      </w:r>
      <w:r>
        <w:t xml:space="preserve"> </w:t>
      </w:r>
      <w:r>
        <w:rPr>
          <w:bCs/>
          <w:b/>
        </w:rPr>
        <w:t xml:space="preserve">citoyens</w:t>
      </w:r>
      <w:r>
        <w:t xml:space="preserve"> </w:t>
      </w:r>
      <w:r>
        <w:t xml:space="preserve">réunis dans la Nation, et la</w:t>
      </w:r>
      <w:r>
        <w:t xml:space="preserve"> </w:t>
      </w:r>
      <w:r>
        <w:rPr>
          <w:bCs/>
          <w:b/>
        </w:rPr>
        <w:t xml:space="preserve">loi</w:t>
      </w:r>
      <w:r>
        <w:t xml:space="preserve"> </w:t>
      </w:r>
      <w:r>
        <w:t xml:space="preserve">devient l’expression de la volonté générale.</w:t>
      </w:r>
    </w:p>
    <w:p>
      <w:r>
        <w:pict>
          <v:rect style="width:0;height:1.5pt" o:hralign="center" o:hrstd="t" o:hr="t"/>
        </w:pict>
      </w:r>
    </w:p>
    <w:bookmarkEnd w:id="34"/>
    <w:bookmarkStart w:id="35" w:name="X7f270d6deb1d179838b134cfe4546e3f3045589"/>
    <w:p>
      <w:pPr>
        <w:pStyle w:val="Heading3"/>
      </w:pPr>
      <w:r>
        <w:t xml:space="preserve">Auto-évaluation à indicateurs observables</w:t>
      </w:r>
    </w:p>
    <w:p>
      <w:pPr>
        <w:pStyle w:val="FirstParagraph"/>
      </w:pPr>
      <w:r>
        <w:t xml:space="preserve">L’élève coche, pour chaque ligne, le niveau qui correspond à ce qu’il sait faire. Indicateurs</w:t>
      </w:r>
      <w:r>
        <w:t xml:space="preserve"> </w:t>
      </w:r>
      <w:r>
        <w:rPr>
          <w:bCs/>
          <w:b/>
        </w:rPr>
        <w:t xml:space="preserve">observables</w:t>
      </w:r>
      <w:r>
        <w:t xml:space="preserve"> </w:t>
      </w:r>
      <w:r>
        <w:t xml:space="preserve">(et non « je comprends »).</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Ce que je sais faire</w:t>
            </w:r>
          </w:p>
        </w:tc>
        <w:tc>
          <w:tcPr/>
          <w:p>
            <w:pPr>
              <w:pStyle w:val="Compact"/>
              <w:jc w:val="left"/>
            </w:pPr>
            <w:r>
              <w:t xml:space="preserve">Pas encore</w:t>
            </w:r>
          </w:p>
        </w:tc>
        <w:tc>
          <w:tcPr/>
          <w:p>
            <w:pPr>
              <w:pStyle w:val="Compact"/>
              <w:jc w:val="left"/>
            </w:pPr>
            <w:r>
              <w:t xml:space="preserve">En cours</w:t>
            </w:r>
          </w:p>
        </w:tc>
        <w:tc>
          <w:tcPr/>
          <w:p>
            <w:pPr>
              <w:pStyle w:val="Compact"/>
              <w:jc w:val="left"/>
            </w:pPr>
            <w:r>
              <w:t xml:space="preserve">Acquis (indicateur observable)</w:t>
            </w:r>
          </w:p>
        </w:tc>
      </w:tr>
      <w:tr>
        <w:tc>
          <w:tcPr/>
          <w:p>
            <w:pPr>
              <w:pStyle w:val="Compact"/>
              <w:jc w:val="left"/>
            </w:pPr>
            <w:r>
              <w:t xml:space="preserve">Situer les 4 journées de 1789</w:t>
            </w:r>
          </w:p>
        </w:tc>
        <w:tc>
          <w:tcPr/>
          <w:p>
            <w:pPr>
              <w:pStyle w:val="Compact"/>
              <w:jc w:val="left"/>
            </w:pPr>
            <w:r>
              <w:t xml:space="preserve">Je ne retrouve pas les dates</w:t>
            </w:r>
          </w:p>
        </w:tc>
        <w:tc>
          <w:tcPr/>
          <w:p>
            <w:pPr>
              <w:pStyle w:val="Compact"/>
              <w:jc w:val="left"/>
            </w:pPr>
            <w:r>
              <w:t xml:space="preserve">Je place 2 ou 3 événements dans l’ordre</w:t>
            </w:r>
          </w:p>
        </w:tc>
        <w:tc>
          <w:tcPr/>
          <w:p>
            <w:pPr>
              <w:pStyle w:val="Compact"/>
              <w:jc w:val="left"/>
            </w:pPr>
            <w:r>
              <w:rPr>
                <w:bCs/>
                <w:b/>
              </w:rPr>
              <w:t xml:space="preserve">Je place les 4 événements dans le bon ordre et je donne leur mois</w:t>
            </w:r>
          </w:p>
        </w:tc>
      </w:tr>
      <w:tr>
        <w:tc>
          <w:tcPr/>
          <w:p>
            <w:pPr>
              <w:pStyle w:val="Compact"/>
              <w:jc w:val="left"/>
            </w:pPr>
            <w:r>
              <w:t xml:space="preserve">Expliquer l’apport de chaque journée</w:t>
            </w:r>
          </w:p>
        </w:tc>
        <w:tc>
          <w:tcPr/>
          <w:p>
            <w:pPr>
              <w:pStyle w:val="Compact"/>
              <w:jc w:val="left"/>
            </w:pPr>
            <w:r>
              <w:t xml:space="preserve">Je ne sais pas dire ce qu’elles changent</w:t>
            </w:r>
          </w:p>
        </w:tc>
        <w:tc>
          <w:tcPr/>
          <w:p>
            <w:pPr>
              <w:pStyle w:val="Compact"/>
              <w:jc w:val="left"/>
            </w:pPr>
            <w:r>
              <w:t xml:space="preserve">J’explique l’apport d’1 ou 2 journées</w:t>
            </w:r>
          </w:p>
        </w:tc>
        <w:tc>
          <w:tcPr/>
          <w:p>
            <w:pPr>
              <w:pStyle w:val="Compact"/>
              <w:jc w:val="left"/>
            </w:pPr>
            <w:r>
              <w:rPr>
                <w:bCs/>
                <w:b/>
              </w:rPr>
              <w:t xml:space="preserve">J’associe à chaque journée ce qu’elle change (ex. : 4 août → fin des privilèges)</w:t>
            </w:r>
          </w:p>
        </w:tc>
      </w:tr>
      <w:tr>
        <w:tc>
          <w:tcPr/>
          <w:p>
            <w:pPr>
              <w:pStyle w:val="Compact"/>
              <w:jc w:val="left"/>
            </w:pPr>
            <w:r>
              <w:t xml:space="preserve">Comprendre la souveraineté nationale</w:t>
            </w:r>
          </w:p>
        </w:tc>
        <w:tc>
          <w:tcPr/>
          <w:p>
            <w:pPr>
              <w:pStyle w:val="Compact"/>
              <w:jc w:val="left"/>
            </w:pPr>
            <w:r>
              <w:t xml:space="preserve">Je ne sais pas ce que c’est</w:t>
            </w:r>
          </w:p>
        </w:tc>
        <w:tc>
          <w:tcPr/>
          <w:p>
            <w:pPr>
              <w:pStyle w:val="Compact"/>
              <w:jc w:val="left"/>
            </w:pPr>
            <w:r>
              <w:t xml:space="preserve">Je répète le mot sans l’expliquer</w:t>
            </w:r>
          </w:p>
        </w:tc>
        <w:tc>
          <w:tcPr/>
          <w:p>
            <w:pPr>
              <w:pStyle w:val="Compact"/>
              <w:jc w:val="left"/>
            </w:pPr>
            <w:r>
              <w:rPr>
                <w:bCs/>
                <w:b/>
              </w:rPr>
              <w:t xml:space="preserve">J’écris une phrase qui dit que le pouvoir passe du roi à la Nation, en citant l’art. 3</w:t>
            </w:r>
          </w:p>
        </w:tc>
      </w:tr>
      <w:tr>
        <w:tc>
          <w:tcPr/>
          <w:p>
            <w:pPr>
              <w:pStyle w:val="Compact"/>
              <w:jc w:val="left"/>
            </w:pPr>
            <w:r>
              <w:t xml:space="preserve">Analyser un document</w:t>
            </w:r>
          </w:p>
        </w:tc>
        <w:tc>
          <w:tcPr/>
          <w:p>
            <w:pPr>
              <w:pStyle w:val="Compact"/>
              <w:jc w:val="left"/>
            </w:pPr>
            <w:r>
              <w:t xml:space="preserve">Je ne sais pas par où commencer</w:t>
            </w:r>
          </w:p>
        </w:tc>
        <w:tc>
          <w:tcPr/>
          <w:p>
            <w:pPr>
              <w:pStyle w:val="Compact"/>
              <w:jc w:val="left"/>
            </w:pPr>
            <w:r>
              <w:t xml:space="preserve">Je donne la nature OU l’auteur</w:t>
            </w:r>
          </w:p>
        </w:tc>
        <w:tc>
          <w:tcPr/>
          <w:p>
            <w:pPr>
              <w:pStyle w:val="Compact"/>
              <w:jc w:val="left"/>
            </w:pPr>
            <w:r>
              <w:rPr>
                <w:bCs/>
                <w:b/>
              </w:rPr>
              <w:t xml:space="preserve">Je donne la nature, l’auteur, l’idée principale et le point de vue du document</w:t>
            </w:r>
          </w:p>
        </w:tc>
      </w:tr>
    </w:tbl>
    <w:p>
      <w:r>
        <w:pict>
          <v:rect style="width:0;height:1.5pt" o:hralign="center" o:hrstd="t" o:hr="t"/>
        </w:pict>
      </w:r>
    </w:p>
    <w:bookmarkEnd w:id="35"/>
    <w:bookmarkStart w:id="36" w:name="activités-dapprofondissement"/>
    <w:p>
      <w:pPr>
        <w:pStyle w:val="Heading3"/>
      </w:pPr>
      <w:r>
        <w:t xml:space="preserve">Activités d’approfondissement</w:t>
      </w:r>
    </w:p>
    <w:p>
      <w:pPr>
        <w:numPr>
          <w:ilvl w:val="0"/>
          <w:numId w:val="1005"/>
        </w:numPr>
        <w:pStyle w:val="Compact"/>
      </w:pPr>
      <w:r>
        <w:rPr>
          <w:bCs/>
          <w:b/>
        </w:rPr>
        <w:t xml:space="preserve">Étude de l’article 6 de la DDHC</w:t>
      </w:r>
      <w:r>
        <w:t xml:space="preserve"> </w:t>
      </w:r>
      <w:r>
        <w:t xml:space="preserve">: « La loi est l’expression de la volonté générale » — comparer avec la décision royale sous l’absolutisme. Lien de recherche du texte :</w:t>
      </w:r>
      <w:r>
        <w:t xml:space="preserve"> </w:t>
      </w:r>
      <w:hyperlink r:id="rId21">
        <w:r>
          <w:rPr>
            <w:rStyle w:val="Hyperlink"/>
          </w:rPr>
          <w:t xml:space="preserve">Recherche Wikisource « Déclaration des droits de l’homme et du citoyen 1789 »</w:t>
        </w:r>
      </w:hyperlink>
      <w:r>
        <w:t xml:space="preserve">.</w:t>
      </w:r>
    </w:p>
    <w:p>
      <w:pPr>
        <w:numPr>
          <w:ilvl w:val="0"/>
          <w:numId w:val="1005"/>
        </w:numPr>
        <w:pStyle w:val="Compact"/>
      </w:pPr>
      <w:r>
        <w:rPr>
          <w:bCs/>
          <w:b/>
        </w:rPr>
        <w:t xml:space="preserve">Confrontation de deux gravures</w:t>
      </w:r>
      <w:r>
        <w:t xml:space="preserve"> </w:t>
      </w:r>
      <w:r>
        <w:t xml:space="preserve">sur la prise de la Bastille pour exercer le regard critique (point de vue, intention) :</w:t>
      </w:r>
      <w:r>
        <w:t xml:space="preserve"> </w:t>
      </w:r>
      <w:hyperlink r:id="rId24">
        <w:r>
          <w:rPr>
            <w:rStyle w:val="Hyperlink"/>
          </w:rPr>
          <w:t xml:space="preserve">Wikimedia Commons « Storming of the Bastille 1789 »</w:t>
        </w:r>
      </w:hyperlink>
      <w:r>
        <w:t xml:space="preserve">.</w:t>
      </w:r>
    </w:p>
    <w:p>
      <w:pPr>
        <w:numPr>
          <w:ilvl w:val="0"/>
          <w:numId w:val="1005"/>
        </w:numPr>
        <w:pStyle w:val="Compact"/>
      </w:pPr>
      <w:r>
        <w:rPr>
          <w:bCs/>
          <w:b/>
        </w:rPr>
        <w:t xml:space="preserve">Rédaction guidée</w:t>
      </w:r>
      <w:r>
        <w:t xml:space="preserve"> </w:t>
      </w:r>
      <w:r>
        <w:t xml:space="preserve">: un paragraphe expliquant « En quoi 1789 met-il fin à la monarchie absolue ? », en réinvestissant les 4 repères.</w:t>
      </w:r>
    </w:p>
    <w:bookmarkEnd w:id="36"/>
    <w:bookmarkStart w:id="37" w:name="prolongements"/>
    <w:p>
      <w:pPr>
        <w:pStyle w:val="Heading3"/>
      </w:pPr>
      <w:r>
        <w:t xml:space="preserve">Prolongements</w:t>
      </w:r>
    </w:p>
    <w:p>
      <w:pPr>
        <w:numPr>
          <w:ilvl w:val="0"/>
          <w:numId w:val="1006"/>
        </w:numPr>
        <w:pStyle w:val="Compact"/>
      </w:pPr>
      <w:r>
        <w:rPr>
          <w:bCs/>
          <w:b/>
        </w:rPr>
        <w:t xml:space="preserve">Séance suivante de la séquence</w:t>
      </w:r>
      <w:r>
        <w:t xml:space="preserve"> </w:t>
      </w:r>
      <w:r>
        <w:t xml:space="preserve">: la fin de la monarchie et la proclamation de la République (1792), l’exécution de Louis XVI (1793) — pour corriger l’erreur fréquente « le roi est tué en 1789 ».</w:t>
      </w:r>
    </w:p>
    <w:p>
      <w:pPr>
        <w:numPr>
          <w:ilvl w:val="0"/>
          <w:numId w:val="1006"/>
        </w:numPr>
        <w:pStyle w:val="Compact"/>
      </w:pPr>
      <w:r>
        <w:rPr>
          <w:bCs/>
          <w:b/>
        </w:rPr>
        <w:t xml:space="preserve">Dimension européenne et impériale</w:t>
      </w:r>
      <w:r>
        <w:t xml:space="preserve"> </w:t>
      </w:r>
      <w:r>
        <w:t xml:space="preserve">du sous-thème (programme p. 83) : la diffusion des idées révolutionnaires en Europe, les guerres et l’Empire.</w:t>
      </w:r>
    </w:p>
    <w:p>
      <w:pPr>
        <w:numPr>
          <w:ilvl w:val="0"/>
          <w:numId w:val="1006"/>
        </w:numPr>
        <w:pStyle w:val="Compact"/>
      </w:pPr>
      <w:r>
        <w:rPr>
          <w:bCs/>
          <w:b/>
        </w:rPr>
        <w:t xml:space="preserve">EMC (lien explicitement encouragé par le programme, p. 79)</w:t>
      </w:r>
      <w:r>
        <w:t xml:space="preserve"> </w:t>
      </w:r>
      <w:r>
        <w:t xml:space="preserve">: la DDHC comme socle des droits actuels ; principe de souveraineté nationale dans la République française aujourd’hui.</w:t>
      </w:r>
    </w:p>
    <w:p>
      <w:pPr>
        <w:numPr>
          <w:ilvl w:val="0"/>
          <w:numId w:val="1006"/>
        </w:numPr>
        <w:pStyle w:val="Compact"/>
      </w:pPr>
      <w:r>
        <w:rPr>
          <w:bCs/>
          <w:b/>
        </w:rPr>
        <w:t xml:space="preserve">Histoire des arts</w:t>
      </w:r>
      <w:r>
        <w:t xml:space="preserve"> </w:t>
      </w:r>
      <w:r>
        <w:t xml:space="preserve">:</w:t>
      </w:r>
      <w:r>
        <w:t xml:space="preserve"> </w:t>
      </w:r>
      <w:r>
        <w:rPr>
          <w:iCs/>
          <w:i/>
        </w:rPr>
        <w:t xml:space="preserve">Le Serment du Jeu de paume</w:t>
      </w:r>
      <w:r>
        <w:t xml:space="preserve"> </w:t>
      </w:r>
      <w:r>
        <w:t xml:space="preserve">de Jacques-Louis David comme œuvre engagée (commande et inachèvement).</w:t>
      </w:r>
    </w:p>
    <w:p>
      <w:r>
        <w:pict>
          <v:rect style="width:0;height:1.5pt" o:hralign="center" o:hrstd="t" o:hr="t"/>
        </w:pict>
      </w:r>
    </w:p>
    <w:p>
      <w:pPr>
        <w:pStyle w:val="FirstParagraph"/>
      </w:pPr>
      <w:r>
        <w:rPr>
          <w:iCs/>
          <w:i/>
        </w:rPr>
        <w:t xml:space="preserve">Fiche conçue à partir du programme d’histoire-géographie du cycle 4 (BOEN n° 31 du 30 juillet 2020, p. 83) et de la ressource Éduscol « Analyser et comprendre des documents » (cycles 2-3-4, janvier 2017).</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commons.wikimedia.org/w/index.php?search=Abolition+of+feudalism+France+1789&amp;title=Special:MediaSearch&amp;type=image" TargetMode="External" /><Relationship Type="http://schemas.openxmlformats.org/officeDocument/2006/relationships/hyperlink" Id="rId24" Target="https://commons.wikimedia.org/w/index.php?search=Storming+of+the+Bastille+1789&amp;title=Special:MediaSearch&amp;type=image" TargetMode="External" /><Relationship Type="http://schemas.openxmlformats.org/officeDocument/2006/relationships/hyperlink" Id="rId22" Target="https://commons.wikimedia.org/w/index.php?search=Tennis+Court+Oath+David&amp;title=Special:MediaSearch&amp;type=image" TargetMode="External" /><Relationship Type="http://schemas.openxmlformats.org/officeDocument/2006/relationships/hyperlink" Id="rId21" Target="https://fr.wikisource.org/w/index.php?search=D%C3%A9claration+des+droits+de+l%27homme+et+du+citoyen+1789&amp;title=Sp%C3%A9cial:Recherche" TargetMode="External" /><Relationship Type="http://schemas.openxmlformats.org/officeDocument/2006/relationships/hyperlink" Id="rId23" Target="https://www.google.com/search?tbm=isch&amp;q=Serment+du+Jeu+de+paume+David+gravure" TargetMode="External" /><Relationship Type="http://schemas.openxmlformats.org/officeDocument/2006/relationships/hyperlink" Id="rId25" Target="https://www.google.com/search?tbm=isch&amp;q=prise+de+la+Bastille+14+juillet+1789+gravure" TargetMode="External" /></Relationships>
</file>

<file path=word/_rels/footnotes.xml.rels><?xml version="1.0" encoding="UTF-8"?><Relationships xmlns="http://schemas.openxmlformats.org/package/2006/relationships"><Relationship Type="http://schemas.openxmlformats.org/officeDocument/2006/relationships/hyperlink" Id="rId26" Target="https://commons.wikimedia.org/w/index.php?search=Abolition+of+feudalism+France+1789&amp;title=Special:MediaSearch&amp;type=image" TargetMode="External" /><Relationship Type="http://schemas.openxmlformats.org/officeDocument/2006/relationships/hyperlink" Id="rId24" Target="https://commons.wikimedia.org/w/index.php?search=Storming+of+the+Bastille+1789&amp;title=Special:MediaSearch&amp;type=image" TargetMode="External" /><Relationship Type="http://schemas.openxmlformats.org/officeDocument/2006/relationships/hyperlink" Id="rId22" Target="https://commons.wikimedia.org/w/index.php?search=Tennis+Court+Oath+David&amp;title=Special:MediaSearch&amp;type=image" TargetMode="External" /><Relationship Type="http://schemas.openxmlformats.org/officeDocument/2006/relationships/hyperlink" Id="rId21" Target="https://fr.wikisource.org/w/index.php?search=D%C3%A9claration+des+droits+de+l%27homme+et+du+citoyen+1789&amp;title=Sp%C3%A9cial:Recherche" TargetMode="External" /><Relationship Type="http://schemas.openxmlformats.org/officeDocument/2006/relationships/hyperlink" Id="rId23" Target="https://www.google.com/search?tbm=isch&amp;q=Serment+du+Jeu+de+paume+David+gravure" TargetMode="External" /><Relationship Type="http://schemas.openxmlformats.org/officeDocument/2006/relationships/hyperlink" Id="rId25" Target="https://www.google.com/search?tbm=isch&amp;q=prise+de+la+Bastille+14+juillet+1789+gravu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2026-06-19T07:20:30Z</dcterms:created>
  <dcterms:modified xsi:type="dcterms:W3CDTF">2026-06-19T07:20:30Z</dcterms:modified>
</cp:coreProperties>
</file>

<file path=docProps/custom.xml><?xml version="1.0" encoding="utf-8"?>
<Properties xmlns="http://schemas.openxmlformats.org/officeDocument/2006/custom-properties" xmlns:vt="http://schemas.openxmlformats.org/officeDocument/2006/docPropsVTypes"/>
</file>