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0" w:name="X0eddcb9597851ec419782bd10665ed7b8e11d1a"/>
    <w:p>
      <w:pPr>
        <w:pStyle w:val="Heading1"/>
      </w:pPr>
      <w:r>
        <w:t xml:space="preserve">Fiche de séance d’EMC — 5ᵉ : « Le harcèlement et le cyberharcèlement : reconnaître, refuser, agir »</w:t>
      </w:r>
    </w:p>
    <w:p>
      <w:pPr>
        <w:pStyle w:val="BlockText"/>
      </w:pPr>
      <w:r>
        <w:rPr>
          <w:bCs/>
          <w:b/>
        </w:rPr>
        <w:t xml:space="preserve">Cadrage des sources.</w:t>
      </w:r>
      <w:r>
        <w:t xml:space="preserve"> </w:t>
      </w:r>
      <w:r>
        <w:t xml:space="preserve">Les libellés du programme sont repris</w:t>
      </w:r>
      <w:r>
        <w:t xml:space="preserve"> </w:t>
      </w:r>
      <w:r>
        <w:rPr>
          <w:bCs/>
          <w:b/>
        </w:rPr>
        <w:t xml:space="preserve">mot pour mot</w:t>
      </w:r>
      <w:r>
        <w:t xml:space="preserve"> </w:t>
      </w:r>
      <w:r>
        <w:t xml:space="preserve">du programme officiel d’EMC 2024 fourni. La séance est rattachée à l’année de</w:t>
      </w:r>
      <w:r>
        <w:t xml:space="preserve"> </w:t>
      </w:r>
      <w:r>
        <w:rPr>
          <w:bCs/>
          <w:b/>
        </w:rPr>
        <w:t xml:space="preserve">Cinquième : « Égalité, fraternité et solidarité »</w:t>
      </w:r>
      <w:r>
        <w:t xml:space="preserve">, entrée</w:t>
      </w:r>
      <w:r>
        <w:t xml:space="preserve"> </w:t>
      </w:r>
      <w:r>
        <w:rPr>
          <w:bCs/>
          <w:b/>
        </w:rPr>
        <w:t xml:space="preserve">« Agir pour l’égalité femmes-hommes et lutter contre les discriminations »</w:t>
      </w:r>
      <w:r>
        <w:t xml:space="preserve">. En 5ᵉ, le harcèlement est abordé</w:t>
      </w:r>
      <w:r>
        <w:t xml:space="preserve"> </w:t>
      </w:r>
      <w:r>
        <w:rPr>
          <w:bCs/>
          <w:b/>
        </w:rPr>
        <w:t xml:space="preserve">sous l’angle discriminatoire</w:t>
      </w:r>
      <w:r>
        <w:t xml:space="preserve"> </w:t>
      </w:r>
      <w:r>
        <w:t xml:space="preserve">: les moqueries, le rejet et l’exclusion qui en sont la racine relèvent de la lutte contre les discriminations, y compris en ligne. L’étude de cas travaillée est</w:t>
      </w:r>
      <w:r>
        <w:t xml:space="preserve"> </w:t>
      </w:r>
      <w:r>
        <w:rPr>
          <w:bCs/>
          <w:b/>
        </w:rPr>
        <w:t xml:space="preserve">fictive</w:t>
      </w:r>
      <w:r>
        <w:t xml:space="preserve"> </w:t>
      </w:r>
      <w:r>
        <w:t xml:space="preserve">(aucune source externe).</w:t>
      </w:r>
    </w:p>
    <w:p>
      <w:pPr>
        <w:pStyle w:val="BlockText"/>
      </w:pPr>
      <w:r>
        <w:rPr>
          <w:bCs/>
          <w:b/>
        </w:rPr>
        <w:t xml:space="preserve">Safeguarding (à lire avant la séance).</w:t>
      </w:r>
      <w:r>
        <w:t xml:space="preserve"> </w:t>
      </w:r>
      <w:r>
        <w:t xml:space="preserve">Le thème peut faire écho à des situations vécues : toute la séance repose sur des</w:t>
      </w:r>
      <w:r>
        <w:t xml:space="preserve"> </w:t>
      </w:r>
      <w:r>
        <w:rPr>
          <w:bCs/>
          <w:b/>
        </w:rPr>
        <w:t xml:space="preserve">situations fictives et anonymisées</w:t>
      </w:r>
      <w:r>
        <w:t xml:space="preserve">. On annonce dès l’ouverture un</w:t>
      </w:r>
      <w:r>
        <w:t xml:space="preserve"> </w:t>
      </w:r>
      <w:r>
        <w:rPr>
          <w:bCs/>
          <w:b/>
        </w:rPr>
        <w:t xml:space="preserve">droit de retrait</w:t>
      </w:r>
      <w:r>
        <w:t xml:space="preserve"> </w:t>
      </w:r>
      <w:r>
        <w:t xml:space="preserve">(ne pas participer à un échange sans se justifier) et une</w:t>
      </w:r>
      <w:r>
        <w:t xml:space="preserve"> </w:t>
      </w:r>
      <w:r>
        <w:rPr>
          <w:bCs/>
          <w:b/>
        </w:rPr>
        <w:t xml:space="preserve">orientation adulte-ressource</w:t>
      </w:r>
      <w:r>
        <w:t xml:space="preserve"> </w:t>
      </w:r>
      <w:r>
        <w:t xml:space="preserve">: tout élève concerné peut en parler à un adulte de l’établissement (professeur, CPE, infirmier·ère, assistant·e de service social, direction) et, en dehors, appeler le</w:t>
      </w:r>
      <w:r>
        <w:t xml:space="preserve"> </w:t>
      </w:r>
      <w:r>
        <w:rPr>
          <w:bCs/>
          <w:b/>
        </w:rPr>
        <w:t xml:space="preserve">3018</w:t>
      </w:r>
      <w:r>
        <w:t xml:space="preserve"> </w:t>
      </w:r>
      <w:r>
        <w:t xml:space="preserve">(numéro national contre le harcèlement et les violences numériques, gratuit, confidentiel). Posture : neutralité sur les opinions, fermeté sur le droit, distinction</w:t>
      </w:r>
      <w:r>
        <w:t xml:space="preserve"> </w:t>
      </w:r>
      <w:r>
        <w:rPr>
          <w:bCs/>
          <w:b/>
        </w:rPr>
        <w:t xml:space="preserve">faits / opinions / croyances</w:t>
      </w:r>
      <w:r>
        <w:t xml:space="preserve"> </w:t>
      </w:r>
      <w:r>
        <w:t xml:space="preserve">; on ne tranche pas le débat à la place des élèves.</w:t>
      </w:r>
    </w:p>
    <w:p>
      <w:r>
        <w:pict>
          <v:rect style="width:0;height:1.5pt" o:hralign="center" o:hrstd="t" o:hr="t"/>
        </w:pict>
      </w:r>
    </w:p>
    <w:bookmarkStart w:id="23" w:name="informations-générales"/>
    <w:p>
      <w:pPr>
        <w:pStyle w:val="Heading2"/>
      </w:pPr>
      <w:r>
        <w:t xml:space="preserve">1. Informations générales</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Rubrique</w:t>
            </w:r>
          </w:p>
        </w:tc>
        <w:tc>
          <w:tcPr/>
          <w:p>
            <w:pPr>
              <w:pStyle w:val="Compact"/>
              <w:jc w:val="left"/>
            </w:pPr>
            <w:r>
              <w:t xml:space="preserve">Détail</w:t>
            </w:r>
          </w:p>
        </w:tc>
      </w:tr>
      <w:tr>
        <w:tc>
          <w:tcPr/>
          <w:p>
            <w:pPr>
              <w:pStyle w:val="Compact"/>
              <w:jc w:val="left"/>
            </w:pPr>
            <w:r>
              <w:t xml:space="preserve">Discipline</w:t>
            </w:r>
          </w:p>
        </w:tc>
        <w:tc>
          <w:tcPr/>
          <w:p>
            <w:pPr>
              <w:pStyle w:val="Compact"/>
              <w:jc w:val="left"/>
            </w:pPr>
            <w:r>
              <w:t xml:space="preserve">Enseignement moral et civique (EMC)</w:t>
            </w:r>
          </w:p>
        </w:tc>
      </w:tr>
      <w:tr>
        <w:tc>
          <w:tcPr/>
          <w:p>
            <w:pPr>
              <w:pStyle w:val="Compact"/>
              <w:jc w:val="left"/>
            </w:pPr>
            <w:r>
              <w:t xml:space="preserve">Niveau</w:t>
            </w:r>
          </w:p>
        </w:tc>
        <w:tc>
          <w:tcPr/>
          <w:p>
            <w:pPr>
              <w:pStyle w:val="Compact"/>
              <w:jc w:val="left"/>
            </w:pPr>
            <w:r>
              <w:t xml:space="preserve">Classe de 5ᵉ — 27 élèves, climat à consolider</w:t>
            </w:r>
          </w:p>
        </w:tc>
      </w:tr>
      <w:tr>
        <w:tc>
          <w:tcPr/>
          <w:p>
            <w:pPr>
              <w:pStyle w:val="Compact"/>
              <w:jc w:val="left"/>
            </w:pPr>
            <w:r>
              <w:t xml:space="preserve">Année du programme</w:t>
            </w:r>
          </w:p>
        </w:tc>
        <w:tc>
          <w:tcPr/>
          <w:p>
            <w:pPr>
              <w:pStyle w:val="Compact"/>
              <w:jc w:val="left"/>
            </w:pPr>
            <w:r>
              <w:rPr>
                <w:bCs/>
                <w:b/>
              </w:rPr>
              <w:t xml:space="preserve">Cinquième : Égalité, fraternité et solidarité</w:t>
            </w:r>
          </w:p>
        </w:tc>
      </w:tr>
      <w:tr>
        <w:tc>
          <w:tcPr/>
          <w:p>
            <w:pPr>
              <w:pStyle w:val="Compact"/>
              <w:jc w:val="left"/>
            </w:pPr>
            <w:r>
              <w:t xml:space="preserve">Entrée du programme</w:t>
            </w:r>
          </w:p>
        </w:tc>
        <w:tc>
          <w:tcPr/>
          <w:p>
            <w:pPr>
              <w:pStyle w:val="Compact"/>
              <w:jc w:val="left"/>
            </w:pPr>
            <w:r>
              <w:rPr>
                <w:bCs/>
                <w:b/>
              </w:rPr>
              <w:t xml:space="preserve">Agir pour l’égalité femmes-hommes et lutter contre les discriminations</w:t>
            </w:r>
          </w:p>
        </w:tc>
      </w:tr>
      <w:tr>
        <w:tc>
          <w:tcPr/>
          <w:p>
            <w:pPr>
              <w:pStyle w:val="Compact"/>
              <w:jc w:val="left"/>
            </w:pPr>
            <w:r>
              <w:t xml:space="preserve">Thème de la séance</w:t>
            </w:r>
          </w:p>
        </w:tc>
        <w:tc>
          <w:tcPr/>
          <w:p>
            <w:pPr>
              <w:pStyle w:val="Compact"/>
              <w:jc w:val="left"/>
            </w:pPr>
            <w:r>
              <w:t xml:space="preserve">Le harcèlement et le cyberharcèlement : reconnaître, refuser, agir</w:t>
            </w:r>
          </w:p>
        </w:tc>
      </w:tr>
      <w:tr>
        <w:tc>
          <w:tcPr/>
          <w:p>
            <w:pPr>
              <w:pStyle w:val="Compact"/>
              <w:jc w:val="left"/>
            </w:pPr>
            <w:r>
              <w:rPr>
                <w:bCs/>
                <w:b/>
              </w:rPr>
              <w:t xml:space="preserve">Créneau</w:t>
            </w:r>
          </w:p>
        </w:tc>
        <w:tc>
          <w:tcPr/>
          <w:p>
            <w:pPr>
              <w:pStyle w:val="Compact"/>
              <w:jc w:val="left"/>
            </w:pPr>
            <w:r>
              <w:rPr>
                <w:bCs/>
                <w:b/>
              </w:rPr>
              <w:t xml:space="preserve">55 min (≈ 45 min effectives)</w:t>
            </w:r>
          </w:p>
        </w:tc>
      </w:tr>
      <w:tr>
        <w:tc>
          <w:tcPr/>
          <w:p>
            <w:pPr>
              <w:pStyle w:val="Compact"/>
              <w:jc w:val="left"/>
            </w:pPr>
            <w:r>
              <w:t xml:space="preserve">Démarches</w:t>
            </w:r>
          </w:p>
        </w:tc>
        <w:tc>
          <w:tcPr/>
          <w:p>
            <w:pPr>
              <w:pStyle w:val="Compact"/>
              <w:jc w:val="left"/>
            </w:pPr>
            <w:r>
              <w:t xml:space="preserve">Étude de cas (fictive), dilemme moral, débat réglé, trace écrite co-construite</w:t>
            </w:r>
          </w:p>
        </w:tc>
      </w:tr>
    </w:tbl>
    <w:p>
      <w:r>
        <w:pict>
          <v:rect style="width:0;height:1.5pt" o:hralign="center" o:hrstd="t" o:hr="t"/>
        </w:pict>
      </w:r>
    </w:p>
    <w:p>
      <w:pPr>
        <w:pStyle w:val="BlockText"/>
      </w:pPr>
      <w:r>
        <w:rPr>
          <w:bCs/>
          <w:b/>
        </w:rPr>
        <w:t xml:space="preserve">Note sur les sources.</w:t>
      </w:r>
      <w:r>
        <w:t xml:space="preserve"> </w:t>
      </w:r>
      <w:r>
        <w:t xml:space="preserve">Cette fiche s’appuie sur le</w:t>
      </w:r>
      <w:r>
        <w:t xml:space="preserve"> </w:t>
      </w:r>
      <w:r>
        <w:rPr>
          <w:bCs/>
          <w:b/>
        </w:rPr>
        <w:t xml:space="preserve">programme d’EMC 2024</w:t>
      </w:r>
      <w:r>
        <w:t xml:space="preserve"> </w:t>
      </w:r>
      <w:r>
        <w:t xml:space="preserve">fourni (</w:t>
      </w:r>
      <w:hyperlink r:id="rId20">
        <w:r>
          <w:rPr>
            <w:rStyle w:val="Hyperlink"/>
          </w:rPr>
          <w:t xml:space="preserve">programme-emc-officiel.pdf</w:t>
        </w:r>
      </w:hyperlink>
      <w:r>
        <w:t xml:space="preserve">), et plus précisément sur l’année de</w:t>
      </w:r>
      <w:r>
        <w:t xml:space="preserve"> </w:t>
      </w:r>
      <w:r>
        <w:rPr>
          <w:bCs/>
          <w:b/>
        </w:rPr>
        <w:t xml:space="preserve">Cinquième : « Égalité, fraternité et solidarité »</w:t>
      </w:r>
      <w:r>
        <w:t xml:space="preserve">, entrée</w:t>
      </w:r>
      <w:r>
        <w:t xml:space="preserve"> </w:t>
      </w:r>
      <w:r>
        <w:rPr>
          <w:bCs/>
          <w:b/>
        </w:rPr>
        <w:t xml:space="preserve">« Agir pour l’égalité femmes-hommes et lutter contre les discriminations »</w:t>
      </w:r>
      <w:r>
        <w:t xml:space="preserve"> </w:t>
      </w:r>
      <w:r>
        <w:t xml:space="preserve">dont le tableau de contenus figure</w:t>
      </w:r>
      <w:r>
        <w:t xml:space="preserve"> </w:t>
      </w:r>
      <w:r>
        <w:rPr>
          <w:bCs/>
          <w:b/>
        </w:rPr>
        <w:t xml:space="preserve">p. 16-17 du PDF</w:t>
      </w:r>
      <w:r>
        <w:t xml:space="preserve"> </w:t>
      </w:r>
      <w:r>
        <w:t xml:space="preserve">: la notion</w:t>
      </w:r>
      <w:r>
        <w:t xml:space="preserve"> </w:t>
      </w:r>
      <w:r>
        <w:rPr>
          <w:bCs/>
          <w:b/>
        </w:rPr>
        <w:t xml:space="preserve">« Harcèlement »</w:t>
      </w:r>
      <w:r>
        <w:t xml:space="preserve"> </w:t>
      </w:r>
      <w:r>
        <w:t xml:space="preserve">y est libellée mot pour mot — « les agissements discriminatoires sont aussi à la racine du harcèlement, y compris du harcèlement en ligne (depuis 2022, le harcèlement scolaire est reconnu comme un délit) » (</w:t>
      </w:r>
      <w:r>
        <w:rPr>
          <w:bCs/>
          <w:b/>
        </w:rPr>
        <w:t xml:space="preserve">p. 17</w:t>
      </w:r>
      <w:r>
        <w:t xml:space="preserve">) — et la démarche associée renvoie explicitement à l’entrée d’EMI</w:t>
      </w:r>
      <w:r>
        <w:t xml:space="preserve"> </w:t>
      </w:r>
      <w:r>
        <w:rPr>
          <w:bCs/>
          <w:b/>
        </w:rPr>
        <w:t xml:space="preserve">« Discours de haine en ligne, lien avec les discriminations et cadre législatif »</w:t>
      </w:r>
      <w:r>
        <w:t xml:space="preserve"> </w:t>
      </w:r>
      <w:r>
        <w:t xml:space="preserve">(Cinquième,</w:t>
      </w:r>
      <w:r>
        <w:t xml:space="preserve"> </w:t>
      </w:r>
      <w:r>
        <w:rPr>
          <w:bCs/>
          <w:b/>
        </w:rPr>
        <w:t xml:space="preserve">p. 5 du PDF</w:t>
      </w:r>
      <w:r>
        <w:t xml:space="preserve">). La phrase d’intention « la construction d’une culture de la démocratie participe au développement des compétences psychosociales des élèves, pour mieux prévenir notamment les situations de harcèlement » est reprise du préambule (</w:t>
      </w:r>
      <w:r>
        <w:rPr>
          <w:bCs/>
          <w:b/>
        </w:rPr>
        <w:t xml:space="preserve">p. 4</w:t>
      </w:r>
      <w:r>
        <w:t xml:space="preserve">), et le triptyque</w:t>
      </w:r>
      <w:r>
        <w:t xml:space="preserve"> </w:t>
      </w:r>
      <w:r>
        <w:rPr>
          <w:bCs/>
          <w:b/>
        </w:rPr>
        <w:t xml:space="preserve">auteur / cible / témoin</w:t>
      </w:r>
      <w:r>
        <w:t xml:space="preserve"> </w:t>
      </w:r>
      <w:r>
        <w:t xml:space="preserve">ainsi que le rappel « le harcèlement est une situation de violence punie par la loi » figurent</w:t>
      </w:r>
      <w:r>
        <w:t xml:space="preserve"> </w:t>
      </w:r>
      <w:r>
        <w:rPr>
          <w:bCs/>
          <w:b/>
        </w:rPr>
        <w:t xml:space="preserve">p. 9</w:t>
      </w:r>
      <w:r>
        <w:t xml:space="preserve">. Le rattachement de cette fiche à l’angle</w:t>
      </w:r>
      <w:r>
        <w:t xml:space="preserve"> </w:t>
      </w:r>
      <w:r>
        <w:rPr>
          <w:bCs/>
          <w:b/>
        </w:rPr>
        <w:t xml:space="preserve">discriminatoire</w:t>
      </w:r>
      <w:r>
        <w:t xml:space="preserve"> </w:t>
      </w:r>
      <w:r>
        <w:t xml:space="preserve">(plutôt qu’au dispositif pHARe pour lui-même) suit donc fidèlement le découpage du programme, qui place le harcèlement dans l’entrée « lutter contre les discriminations » de 5ᵉ. Le</w:t>
      </w:r>
      <w:r>
        <w:t xml:space="preserve"> </w:t>
      </w:r>
      <w:r>
        <w:rPr>
          <w:bCs/>
          <w:b/>
        </w:rPr>
        <w:t xml:space="preserve">livret d’accompagnement 2024</w:t>
      </w:r>
      <w:r>
        <w:t xml:space="preserve"> </w:t>
      </w:r>
      <w:r>
        <w:t xml:space="preserve">(</w:t>
      </w:r>
      <w:hyperlink r:id="rId21">
        <w:r>
          <w:rPr>
            <w:rStyle w:val="Hyperlink"/>
          </w:rPr>
          <w:t xml:space="preserve">livret-emc-2024.pdf</w:t>
        </w:r>
      </w:hyperlink>
      <w:r>
        <w:t xml:space="preserve">) est</w:t>
      </w:r>
      <w:r>
        <w:t xml:space="preserve"> </w:t>
      </w:r>
      <w:r>
        <w:rPr>
          <w:bCs/>
          <w:b/>
        </w:rPr>
        <w:t xml:space="preserve">directement sur le thème et a réellement structuré le déroulé</w:t>
      </w:r>
      <w:r>
        <w:t xml:space="preserve"> </w:t>
      </w:r>
      <w:r>
        <w:t xml:space="preserve">: il contient une activité de 5ᵉ « exploiter un témoignage pour comprendre le cyberharcèlement » (</w:t>
      </w:r>
      <w:r>
        <w:rPr>
          <w:bCs/>
          <w:b/>
        </w:rPr>
        <w:t xml:space="preserve">p. 12-18</w:t>
      </w:r>
      <w:r>
        <w:t xml:space="preserve">) dont sont repris ici la lecture du cyberharcèlement comme</w:t>
      </w:r>
      <w:r>
        <w:t xml:space="preserve"> </w:t>
      </w:r>
      <w:r>
        <w:rPr>
          <w:bCs/>
          <w:b/>
        </w:rPr>
        <w:t xml:space="preserve">prolongement en ligne d’une agression à racine discriminatoire</w:t>
      </w:r>
      <w:r>
        <w:t xml:space="preserve">, la caractérisation du</w:t>
      </w:r>
      <w:r>
        <w:t xml:space="preserve"> </w:t>
      </w:r>
      <w:r>
        <w:rPr>
          <w:bCs/>
          <w:b/>
        </w:rPr>
        <w:t xml:space="preserve">cyberharcèlement comme délit</w:t>
      </w:r>
      <w:r>
        <w:t xml:space="preserve"> </w:t>
      </w:r>
      <w:r>
        <w:t xml:space="preserve">(« ce qui est interdit hors ligne l’est en ligne », p. 12 et 14), l’organisation d’un</w:t>
      </w:r>
      <w:r>
        <w:t xml:space="preserve"> </w:t>
      </w:r>
      <w:r>
        <w:rPr>
          <w:bCs/>
          <w:b/>
        </w:rPr>
        <w:t xml:space="preserve">débat</w:t>
      </w:r>
      <w:r>
        <w:t xml:space="preserve"> </w:t>
      </w:r>
      <w:r>
        <w:t xml:space="preserve">pour impliquer le plus grand nombre et la</w:t>
      </w:r>
      <w:r>
        <w:t xml:space="preserve"> </w:t>
      </w:r>
      <w:r>
        <w:rPr>
          <w:bCs/>
          <w:b/>
        </w:rPr>
        <w:t xml:space="preserve">distinction argumentation / ressenti</w:t>
      </w:r>
      <w:r>
        <w:t xml:space="preserve"> </w:t>
      </w:r>
      <w:r>
        <w:t xml:space="preserve">(p. 16-17, qui inspire la phase « faits, opinions, croyances » de la présente fiche), enfin le rappel des</w:t>
      </w:r>
      <w:r>
        <w:t xml:space="preserve"> </w:t>
      </w:r>
      <w:r>
        <w:rPr>
          <w:bCs/>
          <w:b/>
        </w:rPr>
        <w:t xml:space="preserve">adultes-ressources de l’établissement et du 3018</w:t>
      </w:r>
      <w:r>
        <w:t xml:space="preserve"> </w:t>
      </w:r>
      <w:r>
        <w:t xml:space="preserve">(p. 17). Le</w:t>
      </w:r>
      <w:r>
        <w:t xml:space="preserve"> </w:t>
      </w:r>
      <w:r>
        <w:rPr>
          <w:bCs/>
          <w:b/>
        </w:rPr>
        <w:t xml:space="preserve">projet de programme CSP du 30 janvier 2024</w:t>
      </w:r>
      <w:r>
        <w:t xml:space="preserve"> </w:t>
      </w:r>
      <w:r>
        <w:t xml:space="preserve">(</w:t>
      </w:r>
      <w:hyperlink r:id="rId22">
        <w:r>
          <w:rPr>
            <w:rStyle w:val="Hyperlink"/>
          </w:rPr>
          <w:t xml:space="preserve">projet-emc-csp-2024.pdf</w:t>
        </w:r>
      </w:hyperlink>
      <w:r>
        <w:t xml:space="preserve">)</w:t>
      </w:r>
      <w:r>
        <w:t xml:space="preserve"> </w:t>
      </w:r>
      <w:r>
        <w:rPr>
          <w:bCs/>
          <w:b/>
        </w:rPr>
        <w:t xml:space="preserve">n’est pas un document didactique</w:t>
      </w:r>
      <w:r>
        <w:t xml:space="preserve"> </w:t>
      </w:r>
      <w:r>
        <w:t xml:space="preserve">: c’est la version de travail du programme couvrant tout le cursus CP→terminale (71 p.) ; il</w:t>
      </w:r>
      <w:r>
        <w:t xml:space="preserve"> </w:t>
      </w:r>
      <w:r>
        <w:rPr>
          <w:bCs/>
          <w:b/>
        </w:rPr>
        <w:t xml:space="preserve">fait largement doublon</w:t>
      </w:r>
      <w:r>
        <w:t xml:space="preserve"> </w:t>
      </w:r>
      <w:r>
        <w:t xml:space="preserve">avec le programme officiel déjà cité (mêmes formulations sur le harcèlement « délit depuis 2022 », p. 29, et sur le triptyque auteur/cible/témoin, p. 13) et n’a servi qu’à</w:t>
      </w:r>
      <w:r>
        <w:t xml:space="preserve"> </w:t>
      </w:r>
      <w:r>
        <w:rPr>
          <w:bCs/>
          <w:b/>
        </w:rPr>
        <w:t xml:space="preserve">corroborer</w:t>
      </w:r>
      <w:r>
        <w:t xml:space="preserve"> </w:t>
      </w:r>
      <w:r>
        <w:t xml:space="preserve">ces points, sans apport propre à cette séance. Aucun document fourni ne porte spécifiquement sur l’</w:t>
      </w:r>
      <w:r>
        <w:rPr>
          <w:bCs/>
          <w:b/>
        </w:rPr>
        <w:t xml:space="preserve">étude de cas</w:t>
      </w:r>
      <w:r>
        <w:t xml:space="preserve"> </w:t>
      </w:r>
      <w:r>
        <w:t xml:space="preserve">travaillée ici, qui est</w:t>
      </w:r>
      <w:r>
        <w:t xml:space="preserve"> </w:t>
      </w:r>
      <w:r>
        <w:rPr>
          <w:bCs/>
          <w:b/>
        </w:rPr>
        <w:t xml:space="preserve">fictive</w:t>
      </w:r>
      <w:r>
        <w:t xml:space="preserve"> </w:t>
      </w:r>
      <w:r>
        <w:t xml:space="preserve">; les principes pédagogiques généraux du déroulé (situation-problème,</w:t>
      </w:r>
      <w:r>
        <w:t xml:space="preserve"> </w:t>
      </w:r>
      <w:r>
        <w:rPr>
          <w:bCs/>
          <w:b/>
        </w:rPr>
        <w:t xml:space="preserve">stop pédagogique</w:t>
      </w:r>
      <w:r>
        <w:t xml:space="preserve"> </w:t>
      </w:r>
      <w:r>
        <w:t xml:space="preserve">de vérification de compréhension, recueil anonyme pour faire participer les élèves discrets, trace écrite co-construite, différenciation par l’étayage) relèvent de choix didactiques courants et ne sont pas tirés d’une source nommée.</w:t>
      </w:r>
    </w:p>
    <w:p>
      <w:r>
        <w:pict>
          <v:rect style="width:0;height:1.5pt" o:hralign="center" o:hrstd="t" o:hr="t"/>
        </w:pict>
      </w:r>
    </w:p>
    <w:bookmarkEnd w:id="23"/>
    <w:bookmarkStart w:id="24" w:name="attendus-du-programme-officiel"/>
    <w:p>
      <w:pPr>
        <w:pStyle w:val="Heading2"/>
      </w:pPr>
      <w:r>
        <w:t xml:space="preserve">2. Attendus du programme officiel</w:t>
      </w:r>
    </w:p>
    <w:p>
      <w:pPr>
        <w:pStyle w:val="FirstParagraph"/>
      </w:pPr>
      <w:r>
        <w:t xml:space="preserve">La séance relève de l’entrée</w:t>
      </w:r>
      <w:r>
        <w:t xml:space="preserve"> </w:t>
      </w:r>
      <w:r>
        <w:rPr>
          <w:bCs/>
          <w:b/>
        </w:rPr>
        <w:t xml:space="preserve">« Agir pour l’égalité femmes-hommes et lutter contre les discriminations »</w:t>
      </w:r>
      <w:r>
        <w:t xml:space="preserve"> </w:t>
      </w:r>
      <w:r>
        <w:t xml:space="preserve">: le harcèlement prend souvent appui sur des</w:t>
      </w:r>
      <w:r>
        <w:t xml:space="preserve"> </w:t>
      </w:r>
      <w:r>
        <w:rPr>
          <w:bCs/>
          <w:b/>
        </w:rPr>
        <w:t xml:space="preserve">agissements discriminatoires</w:t>
      </w:r>
      <w:r>
        <w:t xml:space="preserve"> </w:t>
      </w:r>
      <w:r>
        <w:t xml:space="preserve">(rejet d’une différence, exclusion) et est traité ici comme une forme</w:t>
      </w:r>
      <w:r>
        <w:t xml:space="preserve"> </w:t>
      </w:r>
      <w:r>
        <w:rPr>
          <w:bCs/>
          <w:b/>
        </w:rPr>
        <w:t xml:space="preserve">répétée et aggravée</w:t>
      </w:r>
      <w:r>
        <w:t xml:space="preserve"> </w:t>
      </w:r>
      <w:r>
        <w:t xml:space="preserve">de ces agissements. La</w:t>
      </w:r>
      <w:r>
        <w:t xml:space="preserve"> </w:t>
      </w:r>
      <w:r>
        <w:rPr>
          <w:bCs/>
          <w:b/>
        </w:rPr>
        <w:t xml:space="preserve">dimension numérique</w:t>
      </w:r>
      <w:r>
        <w:t xml:space="preserve"> </w:t>
      </w:r>
      <w:r>
        <w:t xml:space="preserve">se rattache, en 5ᵉ, à l’entrée d’EMI</w:t>
      </w:r>
      <w:r>
        <w:t xml:space="preserve"> </w:t>
      </w:r>
      <w:r>
        <w:rPr>
          <w:bCs/>
          <w:b/>
        </w:rPr>
        <w:t xml:space="preserve">« Discours de haine en ligne, lien avec les discriminations et cadre législatif »</w:t>
      </w:r>
      <w:r>
        <w:t xml:space="preserve"> </w:t>
      </w:r>
      <w:r>
        <w:t xml:space="preserve">: le cyberharcèlement y est lu comme un prolongement en ligne de propos discriminatoires, à mettre en relation avec le</w:t>
      </w:r>
      <w:r>
        <w:t xml:space="preserve"> </w:t>
      </w:r>
      <w:r>
        <w:rPr>
          <w:bCs/>
          <w:b/>
        </w:rPr>
        <w:t xml:space="preserve">cadre législatif</w:t>
      </w:r>
      <w:r>
        <w:t xml:space="preserve"> </w:t>
      </w:r>
      <w:r>
        <w:t xml:space="preserve">qui les interdit. Le programme énonce que « la construction d’une culture de la démocratie participe au développement des compétences psychosociales des élèves,</w:t>
      </w:r>
      <w:r>
        <w:t xml:space="preserve"> </w:t>
      </w:r>
      <w:r>
        <w:rPr>
          <w:bCs/>
          <w:b/>
        </w:rPr>
        <w:t xml:space="preserve">pour mieux prévenir notamment les situations de harcèlement</w:t>
      </w:r>
      <w:r>
        <w:t xml:space="preserve"> </w:t>
      </w:r>
      <w:r>
        <w:t xml:space="preserve">».</w:t>
      </w:r>
    </w:p>
    <w:p>
      <w:pPr>
        <w:pStyle w:val="BodyText"/>
      </w:pPr>
      <w:r>
        <w:t xml:space="preserve">Parmi les</w:t>
      </w:r>
      <w:r>
        <w:t xml:space="preserve"> </w:t>
      </w:r>
      <w:r>
        <w:rPr>
          <w:bCs/>
          <w:b/>
        </w:rPr>
        <w:t xml:space="preserve">quatre grandes dimensions</w:t>
      </w:r>
      <w:r>
        <w:t xml:space="preserve"> </w:t>
      </w:r>
      <w:r>
        <w:t xml:space="preserve">du programme, la séance mobilise :</w:t>
      </w:r>
    </w:p>
    <w:p>
      <w:pPr>
        <w:numPr>
          <w:ilvl w:val="0"/>
          <w:numId w:val="1001"/>
        </w:numPr>
        <w:pStyle w:val="Compact"/>
      </w:pPr>
      <w:r>
        <w:rPr>
          <w:bCs/>
          <w:b/>
        </w:rPr>
        <w:t xml:space="preserve">valeurs et principes auxquels on se réfère et que l’on cherche à promouvoir</w:t>
      </w:r>
      <w:r>
        <w:t xml:space="preserve"> </w:t>
      </w:r>
      <w:r>
        <w:t xml:space="preserve">: « solidarité, égalité entre femmes et hommes, refus de toutes les discriminations », « respect de la dignité humaine », « État de droit » ;</w:t>
      </w:r>
    </w:p>
    <w:p>
      <w:pPr>
        <w:numPr>
          <w:ilvl w:val="0"/>
          <w:numId w:val="1001"/>
        </w:numPr>
        <w:pStyle w:val="Compact"/>
      </w:pPr>
      <w:r>
        <w:rPr>
          <w:bCs/>
          <w:b/>
        </w:rPr>
        <w:t xml:space="preserve">domaines de connaissances qui permettent aux élèves d’exercer leur compréhension critique</w:t>
      </w:r>
      <w:r>
        <w:t xml:space="preserve"> </w:t>
      </w:r>
      <w:r>
        <w:t xml:space="preserve">: « règle et droit », « information et médias » ;</w:t>
      </w:r>
    </w:p>
    <w:p>
      <w:pPr>
        <w:numPr>
          <w:ilvl w:val="0"/>
          <w:numId w:val="1001"/>
        </w:numPr>
        <w:pStyle w:val="Compact"/>
      </w:pPr>
      <w:r>
        <w:rPr>
          <w:bCs/>
          <w:b/>
        </w:rPr>
        <w:t xml:space="preserve">attitudes</w:t>
      </w:r>
      <w:r>
        <w:t xml:space="preserve"> </w:t>
      </w:r>
      <w:r>
        <w:t xml:space="preserve">: « respect d’autrui et acceptation des différences », « engagement et sens des responsabilités » ;</w:t>
      </w:r>
    </w:p>
    <w:p>
      <w:pPr>
        <w:numPr>
          <w:ilvl w:val="0"/>
          <w:numId w:val="1001"/>
        </w:numPr>
        <w:pStyle w:val="Compact"/>
      </w:pPr>
      <w:r>
        <w:rPr>
          <w:bCs/>
          <w:b/>
        </w:rPr>
        <w:t xml:space="preserve">aptitudes</w:t>
      </w:r>
      <w:r>
        <w:t xml:space="preserve"> </w:t>
      </w:r>
      <w:r>
        <w:t xml:space="preserve">: « capacité à exprimer ce que l’on ressent et empathie », « participation à un débat pour résoudre les conflits ».</w:t>
      </w:r>
    </w:p>
    <w:p>
      <w:r>
        <w:pict>
          <v:rect style="width:0;height:1.5pt" o:hralign="center" o:hrstd="t" o:hr="t"/>
        </w:pict>
      </w:r>
    </w:p>
    <w:bookmarkEnd w:id="24"/>
    <w:bookmarkStart w:id="25" w:name="compétences-et-connaissances-visées"/>
    <w:p>
      <w:pPr>
        <w:pStyle w:val="Heading2"/>
      </w:pPr>
      <w:r>
        <w:t xml:space="preserve">3. Compétences et connaissances visées</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Type</w:t>
            </w:r>
          </w:p>
        </w:tc>
        <w:tc>
          <w:tcPr/>
          <w:p>
            <w:pPr>
              <w:pStyle w:val="Compact"/>
              <w:jc w:val="left"/>
            </w:pPr>
            <w:r>
              <w:t xml:space="preserve">Éléments visés</w:t>
            </w:r>
          </w:p>
        </w:tc>
      </w:tr>
      <w:tr>
        <w:tc>
          <w:tcPr/>
          <w:p>
            <w:pPr>
              <w:pStyle w:val="Compact"/>
              <w:jc w:val="left"/>
            </w:pPr>
            <w:r>
              <w:rPr>
                <w:bCs/>
                <w:b/>
              </w:rPr>
              <w:t xml:space="preserve">Connaissances (savoir)</w:t>
            </w:r>
          </w:p>
        </w:tc>
        <w:tc>
          <w:tcPr/>
          <w:p>
            <w:pPr>
              <w:pStyle w:val="Compact"/>
              <w:jc w:val="left"/>
            </w:pPr>
            <w:r>
              <w:t xml:space="preserve">Définir le harcèlement par ses trois caractéristiques cumulatives —</w:t>
            </w:r>
            <w:r>
              <w:t xml:space="preserve"> </w:t>
            </w:r>
            <w:r>
              <w:rPr>
                <w:bCs/>
                <w:b/>
              </w:rPr>
              <w:t xml:space="preserve">répété, intentionnel, rapport de domination</w:t>
            </w:r>
            <w:r>
              <w:t xml:space="preserve"> </w:t>
            </w:r>
            <w:r>
              <w:t xml:space="preserve">— et le distinguer d’un conflit ; comprendre la</w:t>
            </w:r>
            <w:r>
              <w:t xml:space="preserve"> </w:t>
            </w:r>
            <w:r>
              <w:rPr>
                <w:bCs/>
                <w:b/>
              </w:rPr>
              <w:t xml:space="preserve">racine discriminatoire</w:t>
            </w:r>
            <w:r>
              <w:t xml:space="preserve"> </w:t>
            </w:r>
            <w:r>
              <w:t xml:space="preserve">fréquente ; définir le</w:t>
            </w:r>
            <w:r>
              <w:t xml:space="preserve"> </w:t>
            </w:r>
            <w:r>
              <w:rPr>
                <w:bCs/>
                <w:b/>
              </w:rPr>
              <w:t xml:space="preserve">cyberharcèlement</w:t>
            </w:r>
            <w:r>
              <w:t xml:space="preserve"> </w:t>
            </w:r>
            <w:r>
              <w:t xml:space="preserve">; savoir que le harcèlement scolaire est</w:t>
            </w:r>
            <w:r>
              <w:t xml:space="preserve"> </w:t>
            </w:r>
            <w:r>
              <w:rPr>
                <w:bCs/>
                <w:b/>
              </w:rPr>
              <w:t xml:space="preserve">interdit et puni par la loi (délit depuis 2022)</w:t>
            </w:r>
            <w:r>
              <w:t xml:space="preserve"> </w:t>
            </w:r>
            <w:r>
              <w:t xml:space="preserve">; connaître le</w:t>
            </w:r>
            <w:r>
              <w:t xml:space="preserve"> </w:t>
            </w:r>
            <w:r>
              <w:rPr>
                <w:bCs/>
                <w:b/>
              </w:rPr>
              <w:t xml:space="preserve">3018</w:t>
            </w:r>
            <w:r>
              <w:t xml:space="preserve"> </w:t>
            </w:r>
            <w:r>
              <w:t xml:space="preserve">et les adultes-ressources. Repérer</w:t>
            </w:r>
            <w:r>
              <w:t xml:space="preserve"> </w:t>
            </w:r>
            <w:r>
              <w:rPr>
                <w:bCs/>
                <w:b/>
              </w:rPr>
              <w:t xml:space="preserve">cible, auteur, témoins</w:t>
            </w:r>
            <w:r>
              <w:t xml:space="preserve">.</w:t>
            </w:r>
          </w:p>
        </w:tc>
      </w:tr>
      <w:tr>
        <w:tc>
          <w:tcPr/>
          <w:p>
            <w:pPr>
              <w:pStyle w:val="Compact"/>
              <w:jc w:val="left"/>
            </w:pPr>
            <w:r>
              <w:rPr>
                <w:bCs/>
                <w:b/>
              </w:rPr>
              <w:t xml:space="preserve">Capacités (débat / raisonnement)</w:t>
            </w:r>
          </w:p>
        </w:tc>
        <w:tc>
          <w:tcPr/>
          <w:p>
            <w:pPr>
              <w:pStyle w:val="Compact"/>
              <w:jc w:val="left"/>
            </w:pPr>
            <w:r>
              <w:t xml:space="preserve">Distinguer faits, opinions et croyances ; formuler un argument clair ; participer à un débat réglé.</w:t>
            </w:r>
          </w:p>
        </w:tc>
      </w:tr>
      <w:tr>
        <w:tc>
          <w:tcPr/>
          <w:p>
            <w:pPr>
              <w:pStyle w:val="Compact"/>
              <w:jc w:val="left"/>
            </w:pPr>
            <w:r>
              <w:rPr>
                <w:bCs/>
                <w:b/>
              </w:rPr>
              <w:t xml:space="preserve">Attitudes (pratique)</w:t>
            </w:r>
          </w:p>
        </w:tc>
        <w:tc>
          <w:tcPr/>
          <w:p>
            <w:pPr>
              <w:pStyle w:val="Compact"/>
              <w:jc w:val="left"/>
            </w:pPr>
            <w:r>
              <w:t xml:space="preserve">Empathie, respect d’autrui, engagement ; passer du témoin passif au témoin actif ; réflexe adulte-ressource et 3018.</w:t>
            </w:r>
          </w:p>
        </w:tc>
      </w:tr>
    </w:tbl>
    <w:p>
      <w:r>
        <w:pict>
          <v:rect style="width:0;height:1.5pt" o:hralign="center" o:hrstd="t" o:hr="t"/>
        </w:pict>
      </w:r>
    </w:p>
    <w:bookmarkEnd w:id="25"/>
    <w:bookmarkStart w:id="26" w:name="objectifs-dapprentissage"/>
    <w:p>
      <w:pPr>
        <w:pStyle w:val="Heading2"/>
      </w:pPr>
      <w:r>
        <w:t xml:space="preserve">4. Objectifs d’apprentissage</w:t>
      </w:r>
    </w:p>
    <w:p>
      <w:pPr>
        <w:pStyle w:val="FirstParagraph"/>
      </w:pPr>
      <w:r>
        <w:t xml:space="preserve">À la fin de la séance, l’élève est capable de :</w:t>
      </w:r>
      <w:r>
        <w:t xml:space="preserve"> </w:t>
      </w:r>
      <w:r>
        <w:t xml:space="preserve">1.</w:t>
      </w:r>
      <w:r>
        <w:t xml:space="preserve"> </w:t>
      </w:r>
      <w:r>
        <w:rPr>
          <w:bCs/>
          <w:b/>
        </w:rPr>
        <w:t xml:space="preserve">Reconnaître</w:t>
      </w:r>
      <w:r>
        <w:t xml:space="preserve"> </w:t>
      </w:r>
      <w:r>
        <w:t xml:space="preserve">une situation de harcèlement / cyberharcèlement et la distinguer d’un conflit, en repérant sa dimension</w:t>
      </w:r>
      <w:r>
        <w:t xml:space="preserve"> </w:t>
      </w:r>
      <w:r>
        <w:rPr>
          <w:bCs/>
          <w:b/>
        </w:rPr>
        <w:t xml:space="preserve">discriminatoire</w:t>
      </w:r>
      <w:r>
        <w:t xml:space="preserve">.</w:t>
      </w:r>
      <w:r>
        <w:t xml:space="preserve"> </w:t>
      </w:r>
      <w:r>
        <w:t xml:space="preserve">2.</w:t>
      </w:r>
      <w:r>
        <w:t xml:space="preserve"> </w:t>
      </w:r>
      <w:r>
        <w:rPr>
          <w:bCs/>
          <w:b/>
        </w:rPr>
        <w:t xml:space="preserve">Refuser</w:t>
      </w:r>
      <w:r>
        <w:t xml:space="preserve"> </w:t>
      </w:r>
      <w:r>
        <w:t xml:space="preserve">ces violences au nom de l’égalité, de la non-discrimination et de la dignité, en sachant que</w:t>
      </w:r>
      <w:r>
        <w:t xml:space="preserve"> </w:t>
      </w:r>
      <w:r>
        <w:rPr>
          <w:bCs/>
          <w:b/>
        </w:rPr>
        <w:t xml:space="preserve">la loi les interdit et les punit (délit depuis 2022)</w:t>
      </w:r>
      <w:r>
        <w:t xml:space="preserve">.</w:t>
      </w:r>
      <w:r>
        <w:t xml:space="preserve"> </w:t>
      </w:r>
      <w:r>
        <w:t xml:space="preserve">3.</w:t>
      </w:r>
      <w:r>
        <w:t xml:space="preserve"> </w:t>
      </w:r>
      <w:r>
        <w:rPr>
          <w:bCs/>
          <w:b/>
        </w:rPr>
        <w:t xml:space="preserve">Agir</w:t>
      </w:r>
      <w:r>
        <w:t xml:space="preserve"> </w:t>
      </w:r>
      <w:r>
        <w:t xml:space="preserve">en témoin : citer au moins trois gestes possibles et nommer vers qui se tourner (adulte-ressource,</w:t>
      </w:r>
      <w:r>
        <w:t xml:space="preserve"> </w:t>
      </w:r>
      <w:r>
        <w:rPr>
          <w:bCs/>
          <w:b/>
        </w:rPr>
        <w:t xml:space="preserve">3018</w:t>
      </w:r>
      <w:r>
        <w:t xml:space="preserve">).</w:t>
      </w:r>
    </w:p>
    <w:p>
      <w:r>
        <w:pict>
          <v:rect style="width:0;height:1.5pt" o:hralign="center" o:hrstd="t" o:hr="t"/>
        </w:pict>
      </w:r>
    </w:p>
    <w:bookmarkEnd w:id="26"/>
    <w:bookmarkStart w:id="27" w:name="matériel-et-ressources"/>
    <w:p>
      <w:pPr>
        <w:pStyle w:val="Heading2"/>
      </w:pPr>
      <w:r>
        <w:t xml:space="preserve">5. Matériel et ressources</w:t>
      </w:r>
    </w:p>
    <w:p>
      <w:pPr>
        <w:numPr>
          <w:ilvl w:val="0"/>
          <w:numId w:val="1002"/>
        </w:numPr>
        <w:pStyle w:val="Compact"/>
      </w:pPr>
      <w:r>
        <w:t xml:space="preserve">Vidéoprojecteur, tableau ; affichage du</w:t>
      </w:r>
      <w:r>
        <w:t xml:space="preserve"> </w:t>
      </w:r>
      <w:r>
        <w:rPr>
          <w:bCs/>
          <w:b/>
        </w:rPr>
        <w:t xml:space="preserve">3018</w:t>
      </w:r>
      <w:r>
        <w:t xml:space="preserve"> </w:t>
      </w:r>
      <w:r>
        <w:t xml:space="preserve">et des adultes-ressources.</w:t>
      </w:r>
    </w:p>
    <w:p>
      <w:pPr>
        <w:numPr>
          <w:ilvl w:val="0"/>
          <w:numId w:val="1002"/>
        </w:numPr>
        <w:pStyle w:val="Compact"/>
      </w:pPr>
      <w:r>
        <w:t xml:space="preserve">Fiche élève : étude de cas fictive + dilemme + grille d’auto-évaluation.</w:t>
      </w:r>
    </w:p>
    <w:p>
      <w:pPr>
        <w:numPr>
          <w:ilvl w:val="0"/>
          <w:numId w:val="1002"/>
        </w:numPr>
        <w:pStyle w:val="Compact"/>
      </w:pPr>
      <w:r>
        <w:t xml:space="preserve">Petits papiers pour le recueil anonyme d’arguments.</w:t>
      </w:r>
    </w:p>
    <w:p>
      <w:pPr>
        <w:numPr>
          <w:ilvl w:val="0"/>
          <w:numId w:val="1002"/>
        </w:numPr>
        <w:pStyle w:val="Compact"/>
      </w:pPr>
      <w:r>
        <w:t xml:space="preserve">Étiquettes</w:t>
      </w:r>
      <w:r>
        <w:t xml:space="preserve"> </w:t>
      </w:r>
      <w:r>
        <w:rPr>
          <w:bCs/>
          <w:b/>
        </w:rPr>
        <w:t xml:space="preserve">FAIT / OPINION / CROYANCE</w:t>
      </w:r>
      <w:r>
        <w:t xml:space="preserve">.</w:t>
      </w:r>
    </w:p>
    <w:p>
      <w:pPr>
        <w:pStyle w:val="FirstParagraph"/>
      </w:pPr>
      <w:r>
        <w:rPr>
          <w:bCs/>
          <w:b/>
        </w:rPr>
        <w:t xml:space="preserve">Document iconographique possible — affiche de campagne (facultatif).</w:t>
      </w:r>
      <w:r>
        <w:t xml:space="preserve"> </w:t>
      </w:r>
      <w:r>
        <w:t xml:space="preserve">Nature : affiche publique de prévention du harcèlement scolaire. L’enseignant choisit une affiche pertinente parmi les résultats ;</w:t>
      </w:r>
      <w:r>
        <w:t xml:space="preserve"> </w:t>
      </w:r>
      <w:r>
        <w:rPr>
          <w:bCs/>
          <w:b/>
        </w:rPr>
        <w:t xml:space="preserve">ne pas citer d’URL précise</w:t>
      </w:r>
      <w:r>
        <w:t xml:space="preserve">.</w:t>
      </w:r>
      <w:r>
        <w:t xml:space="preserve"> </w:t>
      </w:r>
      <w:r>
        <w:t xml:space="preserve">- Images, toutes langues :</w:t>
      </w:r>
      <w:r>
        <w:t xml:space="preserve"> </w:t>
      </w:r>
      <w:r>
        <w:rPr>
          <w:rStyle w:val="VerbatimChar"/>
        </w:rPr>
        <w:t xml:space="preserve">https://www.google.com/search?tbm=isch&amp;q=school+bullying</w:t>
      </w:r>
      <w:r>
        <w:t xml:space="preserve"> </w:t>
      </w:r>
      <w:r>
        <w:t xml:space="preserve">- Wikimedia Commons (requête</w:t>
      </w:r>
      <w:r>
        <w:t xml:space="preserve"> </w:t>
      </w:r>
      <w:r>
        <w:rPr>
          <w:bCs/>
          <w:b/>
        </w:rPr>
        <w:t xml:space="preserve">en anglais</w:t>
      </w:r>
      <w:r>
        <w:t xml:space="preserve">) :</w:t>
      </w:r>
      <w:r>
        <w:t xml:space="preserve"> </w:t>
      </w:r>
      <w:r>
        <w:rPr>
          <w:rStyle w:val="VerbatimChar"/>
        </w:rPr>
        <w:t xml:space="preserve">https://commons.wikimedia.org/w/index.php?search=school+bullying&amp;title=Special:MediaSearch&amp;type=image</w:t>
      </w:r>
      <w:r>
        <w:t xml:space="preserve"> </w:t>
      </w:r>
      <w:r>
        <w:t xml:space="preserve">- Ressources officielles : recherche Éduscol « non au harcèlement 3018 ».</w:t>
      </w:r>
    </w:p>
    <w:p>
      <w:r>
        <w:pict>
          <v:rect style="width:0;height:1.5pt" o:hralign="center" o:hrstd="t" o:hr="t"/>
        </w:pict>
      </w:r>
    </w:p>
    <w:bookmarkEnd w:id="27"/>
    <w:bookmarkStart w:id="34" w:name="déroulement-détaillé-et-chronométré"/>
    <w:p>
      <w:pPr>
        <w:pStyle w:val="Heading2"/>
      </w:pPr>
      <w:r>
        <w:t xml:space="preserve">6. Déroulement détaillé et chronométré</w:t>
      </w:r>
    </w:p>
    <w:p>
      <w:pPr>
        <w:pStyle w:val="BlockText"/>
      </w:pPr>
      <w:r>
        <w:rPr>
          <w:bCs/>
          <w:b/>
        </w:rPr>
        <w:t xml:space="preserve">Modèle de temps : créneau 55 min ≈ 45 min effectives.</w:t>
      </w:r>
      <w:r>
        <w:t xml:space="preserve"> </w:t>
      </w:r>
      <w:r>
        <w:t xml:space="preserve">Routines d’entrée (≈ 5 min) et de sortie (≈ 5 min) encadrent ≈ 45 min de phases d’apprentissage.</w:t>
      </w:r>
      <w:r>
        <w:t xml:space="preserve"> </w:t>
      </w:r>
      <w:r>
        <w:rPr>
          <w:bCs/>
          <w:b/>
        </w:rPr>
        <w:t xml:space="preserve">STOP PÉDAGOGIQUE</w:t>
      </w:r>
      <w:r>
        <w:t xml:space="preserve"> </w:t>
      </w:r>
      <w:r>
        <w:t xml:space="preserve">prévu dans chaque phase de plus de 10-12 min.</w:t>
      </w:r>
    </w:p>
    <w:bookmarkStart w:id="28" w:name="Xaba54e1c3282191f969ce6a0d4e8f9d1d071784"/>
    <w:p>
      <w:pPr>
        <w:pStyle w:val="Heading3"/>
      </w:pPr>
      <w:r>
        <w:t xml:space="preserve">Phase 0 — Accueil, appel, installation, objectif (5 min) —</w:t>
      </w:r>
      <w:r>
        <w:t xml:space="preserve"> </w:t>
      </w:r>
      <w:r>
        <w:rPr>
          <w:iCs/>
          <w:i/>
        </w:rPr>
        <w:t xml:space="preserve">collectif</w:t>
      </w:r>
    </w:p>
    <w:p>
      <w:pPr>
        <w:numPr>
          <w:ilvl w:val="0"/>
          <w:numId w:val="1003"/>
        </w:numPr>
        <w:pStyle w:val="Compact"/>
      </w:pPr>
      <w:r>
        <w:rPr>
          <w:bCs/>
          <w:b/>
        </w:rPr>
        <w:t xml:space="preserve">Professeur</w:t>
      </w:r>
      <w:r>
        <w:t xml:space="preserve"> </w:t>
      </w:r>
      <w:r>
        <w:t xml:space="preserve">: accueille à la porte, prend l’appel, fait sortir le matériel, écrit l’objectif. Annonce le</w:t>
      </w:r>
      <w:r>
        <w:t xml:space="preserve"> </w:t>
      </w:r>
      <w:r>
        <w:rPr>
          <w:bCs/>
          <w:b/>
        </w:rPr>
        <w:t xml:space="preserve">cadre de parole</w:t>
      </w:r>
      <w:r>
        <w:t xml:space="preserve"> </w:t>
      </w:r>
      <w:r>
        <w:t xml:space="preserve">: « On parle de situations inventées, pas de personnes ; aucun nom ; si un sujet vous touche, vous pouvez ne pas parler et venir me voir après. »</w:t>
      </w:r>
    </w:p>
    <w:p>
      <w:pPr>
        <w:numPr>
          <w:ilvl w:val="0"/>
          <w:numId w:val="1003"/>
        </w:numPr>
        <w:pStyle w:val="Compact"/>
      </w:pPr>
      <w:r>
        <w:rPr>
          <w:bCs/>
          <w:b/>
        </w:rPr>
        <w:t xml:space="preserve">Élèves</w:t>
      </w:r>
      <w:r>
        <w:t xml:space="preserve"> </w:t>
      </w:r>
      <w:r>
        <w:t xml:space="preserve">: s’installent, lisent l’objectif.</w:t>
      </w:r>
    </w:p>
    <w:p>
      <w:pPr>
        <w:numPr>
          <w:ilvl w:val="0"/>
          <w:numId w:val="1003"/>
        </w:numPr>
        <w:pStyle w:val="Compact"/>
      </w:pPr>
      <w:r>
        <w:rPr>
          <w:bCs/>
          <w:b/>
        </w:rPr>
        <w:t xml:space="preserve">Transition</w:t>
      </w:r>
      <w:r>
        <w:t xml:space="preserve"> </w:t>
      </w:r>
      <w:r>
        <w:t xml:space="preserve">: « Commençons par une situation. »</w:t>
      </w:r>
    </w:p>
    <w:bookmarkEnd w:id="28"/>
    <w:bookmarkStart w:id="29" w:name="X24c81cca1579cedea2519ff4e271a06ff8777c0"/>
    <w:p>
      <w:pPr>
        <w:pStyle w:val="Heading3"/>
      </w:pPr>
      <w:r>
        <w:t xml:space="preserve">Phase 1 — Reconnaître : étude de cas fictive (12 min) —</w:t>
      </w:r>
      <w:r>
        <w:t xml:space="preserve"> </w:t>
      </w:r>
      <w:r>
        <w:rPr>
          <w:iCs/>
          <w:i/>
        </w:rPr>
        <w:t xml:space="preserve">individuel puis binômes</w:t>
      </w:r>
    </w:p>
    <w:p>
      <w:pPr>
        <w:numPr>
          <w:ilvl w:val="0"/>
          <w:numId w:val="1004"/>
        </w:numPr>
        <w:pStyle w:val="Compact"/>
      </w:pPr>
      <w:r>
        <w:rPr>
          <w:bCs/>
          <w:b/>
        </w:rPr>
        <w:t xml:space="preserve">Support</w:t>
      </w:r>
      <w:r>
        <w:t xml:space="preserve"> </w:t>
      </w:r>
      <w:r>
        <w:t xml:space="preserve">: étude de cas fictive lue à voix haute.</w:t>
      </w:r>
      <w:r>
        <w:t xml:space="preserve"> </w:t>
      </w:r>
      <w:r>
        <w:rPr>
          <w:iCs/>
          <w:i/>
        </w:rPr>
        <w:t xml:space="preserve">« Depuis trois semaines, dans une classe de 5ᵉ, plusieurs élèves se moquent chaque jour de Sami à cause de son accent et de ses vêtements. Au début, c’étaient des</w:t>
      </w:r>
      <w:r>
        <w:rPr>
          <w:iCs/>
          <w:i/>
        </w:rPr>
        <w:t xml:space="preserve"> </w:t>
      </w:r>
      <w:r>
        <w:rPr>
          <w:iCs/>
          <w:i/>
        </w:rPr>
        <w:t xml:space="preserve">“</w:t>
      </w:r>
      <w:r>
        <w:rPr>
          <w:iCs/>
          <w:i/>
        </w:rPr>
        <w:t xml:space="preserve">blagues</w:t>
      </w:r>
      <w:r>
        <w:rPr>
          <w:iCs/>
          <w:i/>
        </w:rPr>
        <w:t xml:space="preserve">”</w:t>
      </w:r>
      <w:r>
        <w:rPr>
          <w:iCs/>
          <w:i/>
        </w:rPr>
        <w:t xml:space="preserve">. Maintenant on l’imite en boucle, on l’évite à la cantine, et une vidéo où il est ridiculisé tourne dans le groupe de discussion de la classe. Sami ne dit rien. Léa, dans le groupe, voit les messages défiler et n’ose rien faire. »</w:t>
      </w:r>
    </w:p>
    <w:p>
      <w:pPr>
        <w:numPr>
          <w:ilvl w:val="0"/>
          <w:numId w:val="1004"/>
        </w:numPr>
        <w:pStyle w:val="Compact"/>
      </w:pPr>
      <w:r>
        <w:rPr>
          <w:bCs/>
          <w:b/>
        </w:rPr>
        <w:t xml:space="preserve">Consignes exactes</w:t>
      </w:r>
      <w:r>
        <w:t xml:space="preserve"> </w:t>
      </w:r>
      <w:r>
        <w:t xml:space="preserve">(au tableau) : 1) « Que se passe-t-il exactement ? » 2) « Conflit ponctuel ou autre chose ? Pourquoi ? » 3) « Qui sont les personnes concernées ? »</w:t>
      </w:r>
    </w:p>
    <w:p>
      <w:pPr>
        <w:numPr>
          <w:ilvl w:val="0"/>
          <w:numId w:val="1004"/>
        </w:numPr>
        <w:pStyle w:val="Compact"/>
      </w:pPr>
      <w:r>
        <w:rPr>
          <w:bCs/>
          <w:b/>
        </w:rPr>
        <w:t xml:space="preserve">Travail</w:t>
      </w:r>
      <w:r>
        <w:t xml:space="preserve"> </w:t>
      </w:r>
      <w:r>
        <w:t xml:space="preserve">: 3 min individuel (écriture), 4 min en binômes.</w:t>
      </w:r>
    </w:p>
    <w:p>
      <w:pPr>
        <w:numPr>
          <w:ilvl w:val="0"/>
          <w:numId w:val="1004"/>
        </w:numPr>
        <w:pStyle w:val="Compact"/>
      </w:pPr>
      <w:r>
        <w:rPr>
          <w:bCs/>
          <w:b/>
        </w:rPr>
        <w:t xml:space="preserve">Mise en commun</w:t>
      </w:r>
      <w:r>
        <w:t xml:space="preserve"> </w:t>
      </w:r>
      <w:r>
        <w:t xml:space="preserve">: le professeur note les</w:t>
      </w:r>
      <w:r>
        <w:t xml:space="preserve"> </w:t>
      </w:r>
      <w:r>
        <w:rPr>
          <w:bCs/>
          <w:b/>
        </w:rPr>
        <w:t xml:space="preserve">mots des élèves</w:t>
      </w:r>
      <w:r>
        <w:t xml:space="preserve"> </w:t>
      </w:r>
      <w:r>
        <w:t xml:space="preserve">au tableau et fait émerger les trois caractéristiques —</w:t>
      </w:r>
      <w:r>
        <w:t xml:space="preserve"> </w:t>
      </w:r>
      <w:r>
        <w:rPr>
          <w:bCs/>
          <w:b/>
        </w:rPr>
        <w:t xml:space="preserve">répété</w:t>
      </w:r>
      <w:r>
        <w:t xml:space="preserve"> </w:t>
      </w:r>
      <w:r>
        <w:t xml:space="preserve">(« chaque jour »),</w:t>
      </w:r>
      <w:r>
        <w:t xml:space="preserve"> </w:t>
      </w:r>
      <w:r>
        <w:rPr>
          <w:bCs/>
          <w:b/>
        </w:rPr>
        <w:t xml:space="preserve">intentionnel</w:t>
      </w:r>
      <w:r>
        <w:t xml:space="preserve"> </w:t>
      </w:r>
      <w:r>
        <w:t xml:space="preserve">(« pour blesser »),</w:t>
      </w:r>
      <w:r>
        <w:t xml:space="preserve"> </w:t>
      </w:r>
      <w:r>
        <w:rPr>
          <w:bCs/>
          <w:b/>
        </w:rPr>
        <w:t xml:space="preserve">rapport de domination</w:t>
      </w:r>
      <w:r>
        <w:t xml:space="preserve"> </w:t>
      </w:r>
      <w:r>
        <w:t xml:space="preserve">(« plusieurs contre un »). Il fait nommer la</w:t>
      </w:r>
      <w:r>
        <w:t xml:space="preserve"> </w:t>
      </w:r>
      <w:r>
        <w:rPr>
          <w:bCs/>
          <w:b/>
        </w:rPr>
        <w:t xml:space="preserve">racine discriminatoire</w:t>
      </w:r>
      <w:r>
        <w:t xml:space="preserve"> </w:t>
      </w:r>
      <w:r>
        <w:t xml:space="preserve">(moqueries sur l’accent, les vêtements → discrimination) puis introduit</w:t>
      </w:r>
      <w:r>
        <w:t xml:space="preserve"> </w:t>
      </w:r>
      <w:r>
        <w:rPr>
          <w:bCs/>
          <w:b/>
        </w:rPr>
        <w:t xml:space="preserve">cyberharcèlement</w:t>
      </w:r>
      <w:r>
        <w:t xml:space="preserve"> </w:t>
      </w:r>
      <w:r>
        <w:t xml:space="preserve">(la vidéo qui tourne : ça ne s’arrête pas, c’est public, ça reste).</w:t>
      </w:r>
    </w:p>
    <w:p>
      <w:pPr>
        <w:numPr>
          <w:ilvl w:val="0"/>
          <w:numId w:val="1004"/>
        </w:numPr>
        <w:pStyle w:val="Compact"/>
      </w:pPr>
      <w:r>
        <w:rPr>
          <w:bCs/>
          <w:b/>
        </w:rPr>
        <w:t xml:space="preserve">STOP PÉDAGOGIQUE (≈ à 9 min)</w:t>
      </w:r>
      <w:r>
        <w:t xml:space="preserve"> </w:t>
      </w:r>
      <w:r>
        <w:t xml:space="preserve">: 60-90 s, question fermée à toute la classe avec les doigts — « 1 doigt si</w:t>
      </w:r>
      <w:r>
        <w:t xml:space="preserve"> </w:t>
      </w:r>
      <w:r>
        <w:t xml:space="preserve">“</w:t>
      </w:r>
      <w:r>
        <w:t xml:space="preserve">se disputer une fois</w:t>
      </w:r>
      <w:r>
        <w:t xml:space="preserve">”</w:t>
      </w:r>
      <w:r>
        <w:t xml:space="preserve"> </w:t>
      </w:r>
      <w:r>
        <w:t xml:space="preserve">= harcèlement ; 3 doigts si</w:t>
      </w:r>
      <w:r>
        <w:t xml:space="preserve"> </w:t>
      </w:r>
      <w:r>
        <w:t xml:space="preserve">“</w:t>
      </w:r>
      <w:r>
        <w:t xml:space="preserve">être visé tous les jours par plusieurs</w:t>
      </w:r>
      <w:r>
        <w:t xml:space="preserve">”</w:t>
      </w:r>
      <w:r>
        <w:t xml:space="preserve"> </w:t>
      </w:r>
      <w:r>
        <w:t xml:space="preserve">= harcèlement ». Le professeur</w:t>
      </w:r>
      <w:r>
        <w:t xml:space="preserve"> </w:t>
      </w:r>
      <w:r>
        <w:rPr>
          <w:bCs/>
          <w:b/>
        </w:rPr>
        <w:t xml:space="preserve">balaie la classe du regard</w:t>
      </w:r>
      <w:r>
        <w:t xml:space="preserve"> </w:t>
      </w:r>
      <w:r>
        <w:t xml:space="preserve">pour vérifier que</w:t>
      </w:r>
      <w:r>
        <w:t xml:space="preserve"> </w:t>
      </w:r>
      <w:r>
        <w:rPr>
          <w:bCs/>
          <w:b/>
        </w:rPr>
        <w:t xml:space="preserve">tous</w:t>
      </w:r>
      <w:r>
        <w:t xml:space="preserve"> </w:t>
      </w:r>
      <w:r>
        <w:t xml:space="preserve">répondent et interroge 1-2 élèves silencieux pour réguler.</w:t>
      </w:r>
    </w:p>
    <w:p>
      <w:pPr>
        <w:numPr>
          <w:ilvl w:val="0"/>
          <w:numId w:val="1004"/>
        </w:numPr>
        <w:pStyle w:val="Compact"/>
      </w:pPr>
      <w:r>
        <w:rPr>
          <w:bCs/>
          <w:b/>
        </w:rPr>
        <w:t xml:space="preserve">Élèves produisent</w:t>
      </w:r>
      <w:r>
        <w:t xml:space="preserve"> </w:t>
      </w:r>
      <w:r>
        <w:t xml:space="preserve">: une définition au brouillon + le repérage cible / auteur / témoins.</w:t>
      </w:r>
    </w:p>
    <w:p>
      <w:pPr>
        <w:numPr>
          <w:ilvl w:val="0"/>
          <w:numId w:val="1004"/>
        </w:numPr>
        <w:pStyle w:val="Compact"/>
      </w:pPr>
      <w:r>
        <w:rPr>
          <w:bCs/>
          <w:b/>
        </w:rPr>
        <w:t xml:space="preserve">Transition</w:t>
      </w:r>
      <w:r>
        <w:t xml:space="preserve"> </w:t>
      </w:r>
      <w:r>
        <w:t xml:space="preserve">: « Soyons rigoureux sur ce que l’on affirme. »</w:t>
      </w:r>
    </w:p>
    <w:bookmarkEnd w:id="29"/>
    <w:bookmarkStart w:id="30" w:name="Xe10bdb13f5da7574f249a1a51d1350d033ae97a"/>
    <w:p>
      <w:pPr>
        <w:pStyle w:val="Heading3"/>
      </w:pPr>
      <w:r>
        <w:t xml:space="preserve">Phase 2 — Faits, opinions, croyances (6 min) —</w:t>
      </w:r>
      <w:r>
        <w:t xml:space="preserve"> </w:t>
      </w:r>
      <w:r>
        <w:rPr>
          <w:iCs/>
          <w:i/>
        </w:rPr>
        <w:t xml:space="preserve">collectif</w:t>
      </w:r>
    </w:p>
    <w:p>
      <w:pPr>
        <w:numPr>
          <w:ilvl w:val="0"/>
          <w:numId w:val="1005"/>
        </w:numPr>
        <w:pStyle w:val="Compact"/>
      </w:pPr>
      <w:r>
        <w:rPr>
          <w:bCs/>
          <w:b/>
        </w:rPr>
        <w:t xml:space="preserve">Professeur</w:t>
      </w:r>
      <w:r>
        <w:t xml:space="preserve"> </w:t>
      </w:r>
      <w:r>
        <w:t xml:space="preserve">affiche les 3 panneaux et énonce 5 phrases (ex. « Les messages ont été envoyés tous les soirs » = fait ; « C’est moins grave parce que c’est sur un écran » = opinion ; « Les garçons sont plus harceleurs que les filles » = opinion/croyance à discuter). La classe classe chaque phrase.</w:t>
      </w:r>
    </w:p>
    <w:p>
      <w:pPr>
        <w:numPr>
          <w:ilvl w:val="0"/>
          <w:numId w:val="1005"/>
        </w:numPr>
        <w:pStyle w:val="Compact"/>
      </w:pPr>
      <w:r>
        <w:rPr>
          <w:bCs/>
          <w:b/>
        </w:rPr>
        <w:t xml:space="preserve">Posture</w:t>
      </w:r>
      <w:r>
        <w:t xml:space="preserve"> </w:t>
      </w:r>
      <w:r>
        <w:t xml:space="preserve">: le professeur</w:t>
      </w:r>
      <w:r>
        <w:t xml:space="preserve"> </w:t>
      </w:r>
      <w:r>
        <w:rPr>
          <w:bCs/>
          <w:b/>
        </w:rPr>
        <w:t xml:space="preserve">ne tranche pas les opinions</w:t>
      </w:r>
      <w:r>
        <w:t xml:space="preserve"> </w:t>
      </w:r>
      <w:r>
        <w:t xml:space="preserve">; il distingue ce qui se vérifie de ce qui se discute.</w:t>
      </w:r>
    </w:p>
    <w:p>
      <w:pPr>
        <w:numPr>
          <w:ilvl w:val="0"/>
          <w:numId w:val="1005"/>
        </w:numPr>
        <w:pStyle w:val="Compact"/>
      </w:pPr>
      <w:r>
        <w:rPr>
          <w:bCs/>
          <w:b/>
        </w:rPr>
        <w:t xml:space="preserve">Transition</w:t>
      </w:r>
      <w:r>
        <w:t xml:space="preserve"> </w:t>
      </w:r>
      <w:r>
        <w:t xml:space="preserve">: « Gardons cette rigueur pour un cas difficile. »</w:t>
      </w:r>
    </w:p>
    <w:bookmarkEnd w:id="30"/>
    <w:bookmarkStart w:id="31" w:name="X3e392d94d0b78225d02ced7f9239605f274cd7c"/>
    <w:p>
      <w:pPr>
        <w:pStyle w:val="Heading3"/>
      </w:pPr>
      <w:r>
        <w:t xml:space="preserve">Phase 3 — Dilemme moral et débat réglé : « Que peut faire le témoin ? » (12 min) —</w:t>
      </w:r>
      <w:r>
        <w:t xml:space="preserve"> </w:t>
      </w:r>
      <w:r>
        <w:rPr>
          <w:iCs/>
          <w:i/>
        </w:rPr>
        <w:t xml:space="preserve">collectif réglé</w:t>
      </w:r>
    </w:p>
    <w:p>
      <w:pPr>
        <w:numPr>
          <w:ilvl w:val="0"/>
          <w:numId w:val="1006"/>
        </w:numPr>
        <w:pStyle w:val="Compact"/>
      </w:pPr>
      <w:r>
        <w:rPr>
          <w:bCs/>
          <w:b/>
        </w:rPr>
        <w:t xml:space="preserve">Dilemme</w:t>
      </w:r>
      <w:r>
        <w:t xml:space="preserve"> </w:t>
      </w:r>
      <w:r>
        <w:t xml:space="preserve">(fiche) : « Tu es Léa : tu vois les moqueries. Si tu réagis, tu risques d’être visée à ton tour. Si tu ne fais rien, Sami reste seul. Que fais-tu — et pourquoi est-ce difficile ? »</w:t>
      </w:r>
    </w:p>
    <w:p>
      <w:pPr>
        <w:numPr>
          <w:ilvl w:val="0"/>
          <w:numId w:val="1006"/>
        </w:numPr>
        <w:pStyle w:val="Compact"/>
      </w:pPr>
      <w:r>
        <w:rPr>
          <w:bCs/>
          <w:b/>
        </w:rPr>
        <w:t xml:space="preserve">Règles affichées</w:t>
      </w:r>
      <w:r>
        <w:t xml:space="preserve"> </w:t>
      </w:r>
      <w:r>
        <w:t xml:space="preserve">: on lève la main ; on écoute sans couper ; on critique une idée, jamais une personne ;</w:t>
      </w:r>
      <w:r>
        <w:t xml:space="preserve"> </w:t>
      </w:r>
      <w:r>
        <w:rPr>
          <w:bCs/>
          <w:b/>
        </w:rPr>
        <w:t xml:space="preserve">droit de se taire</w:t>
      </w:r>
      <w:r>
        <w:t xml:space="preserve"> </w:t>
      </w:r>
      <w:r>
        <w:t xml:space="preserve">; droit de changer d’avis.</w:t>
      </w:r>
    </w:p>
    <w:p>
      <w:pPr>
        <w:numPr>
          <w:ilvl w:val="0"/>
          <w:numId w:val="1006"/>
        </w:numPr>
        <w:pStyle w:val="Compact"/>
      </w:pPr>
      <w:r>
        <w:rPr>
          <w:bCs/>
          <w:b/>
        </w:rPr>
        <w:t xml:space="preserve">Recueil anonyme (30 s)</w:t>
      </w:r>
      <w:r>
        <w:t xml:space="preserve"> </w:t>
      </w:r>
      <w:r>
        <w:t xml:space="preserve">: chaque élève écrit</w:t>
      </w:r>
      <w:r>
        <w:t xml:space="preserve"> </w:t>
      </w:r>
      <w:r>
        <w:rPr>
          <w:bCs/>
          <w:b/>
        </w:rPr>
        <w:t xml:space="preserve">une</w:t>
      </w:r>
      <w:r>
        <w:t xml:space="preserve"> </w:t>
      </w:r>
      <w:r>
        <w:t xml:space="preserve">action sur un papier → boîte → le professeur en tire quelques-uns pour lancer le débat (fait participer aussi les élèves discrets, en sécurité).</w:t>
      </w:r>
    </w:p>
    <w:p>
      <w:pPr>
        <w:numPr>
          <w:ilvl w:val="0"/>
          <w:numId w:val="1006"/>
        </w:numPr>
        <w:pStyle w:val="Compact"/>
      </w:pPr>
      <w:r>
        <w:rPr>
          <w:bCs/>
          <w:b/>
        </w:rPr>
        <w:t xml:space="preserve">Professeur</w:t>
      </w:r>
      <w:r>
        <w:t xml:space="preserve"> </w:t>
      </w:r>
      <w:r>
        <w:t xml:space="preserve">: organise le tour de parole, relance (« Qu’est-ce qui empêche d’agir : la peur ? la loyauté au groupe ? », « Quelle solution protège la cible</w:t>
      </w:r>
      <w:r>
        <w:t xml:space="preserve"> </w:t>
      </w:r>
      <w:r>
        <w:rPr>
          <w:bCs/>
          <w:b/>
        </w:rPr>
        <w:t xml:space="preserve">sans</w:t>
      </w:r>
      <w:r>
        <w:t xml:space="preserve"> </w:t>
      </w:r>
      <w:r>
        <w:t xml:space="preserve">te mettre en danger ? »), distingue faits et opinions,</w:t>
      </w:r>
      <w:r>
        <w:t xml:space="preserve"> </w:t>
      </w:r>
      <w:r>
        <w:rPr>
          <w:bCs/>
          <w:b/>
        </w:rPr>
        <w:t xml:space="preserve">n’impose pas la</w:t>
      </w:r>
      <w:r>
        <w:rPr>
          <w:bCs/>
          <w:b/>
        </w:rPr>
        <w:t xml:space="preserve"> </w:t>
      </w:r>
      <w:r>
        <w:rPr>
          <w:bCs/>
          <w:b/>
        </w:rPr>
        <w:t xml:space="preserve">“</w:t>
      </w:r>
      <w:r>
        <w:rPr>
          <w:bCs/>
          <w:b/>
        </w:rPr>
        <w:t xml:space="preserve">bonne réponse</w:t>
      </w:r>
      <w:r>
        <w:rPr>
          <w:bCs/>
          <w:b/>
        </w:rPr>
        <w:t xml:space="preserve">”</w:t>
      </w:r>
      <w:r>
        <w:t xml:space="preserve">. Il valide en revanche le</w:t>
      </w:r>
      <w:r>
        <w:t xml:space="preserve"> </w:t>
      </w:r>
      <w:r>
        <w:rPr>
          <w:bCs/>
          <w:b/>
        </w:rPr>
        <w:t xml:space="preserve">point de droit et de sécurité</w:t>
      </w:r>
      <w:r>
        <w:t xml:space="preserve"> </w:t>
      </w:r>
      <w:r>
        <w:t xml:space="preserve">: agir n’est pas « cafter », c’est protéger ;</w:t>
      </w:r>
      <w:r>
        <w:t xml:space="preserve"> </w:t>
      </w:r>
      <w:r>
        <w:rPr>
          <w:bCs/>
          <w:b/>
        </w:rPr>
        <w:t xml:space="preserve">le harcèlement est interdit et puni par la loi (délit depuis 2022)</w:t>
      </w:r>
      <w:r>
        <w:t xml:space="preserve"> </w:t>
      </w:r>
      <w:r>
        <w:t xml:space="preserve">; l’adulte-ressource et le</w:t>
      </w:r>
      <w:r>
        <w:t xml:space="preserve"> </w:t>
      </w:r>
      <w:r>
        <w:rPr>
          <w:bCs/>
          <w:b/>
        </w:rPr>
        <w:t xml:space="preserve">3018</w:t>
      </w:r>
      <w:r>
        <w:t xml:space="preserve"> </w:t>
      </w:r>
      <w:r>
        <w:t xml:space="preserve">existent pour cela.</w:t>
      </w:r>
    </w:p>
    <w:p>
      <w:pPr>
        <w:numPr>
          <w:ilvl w:val="0"/>
          <w:numId w:val="1006"/>
        </w:numPr>
        <w:pStyle w:val="Compact"/>
      </w:pPr>
      <w:r>
        <w:rPr>
          <w:bCs/>
          <w:b/>
        </w:rPr>
        <w:t xml:space="preserve">STOP PÉDAGOGIQUE (mi-phase)</w:t>
      </w:r>
      <w:r>
        <w:t xml:space="preserve"> </w:t>
      </w:r>
      <w:r>
        <w:t xml:space="preserve">: tour de table éclair « un mot » par rangée pour vérifier que l’idée « le témoin peut agir » est partagée par</w:t>
      </w:r>
      <w:r>
        <w:t xml:space="preserve"> </w:t>
      </w:r>
      <w:r>
        <w:rPr>
          <w:bCs/>
          <w:b/>
        </w:rPr>
        <w:t xml:space="preserve">toute</w:t>
      </w:r>
      <w:r>
        <w:t xml:space="preserve"> </w:t>
      </w:r>
      <w:r>
        <w:t xml:space="preserve">la classe.</w:t>
      </w:r>
    </w:p>
    <w:p>
      <w:pPr>
        <w:numPr>
          <w:ilvl w:val="0"/>
          <w:numId w:val="1006"/>
        </w:numPr>
        <w:pStyle w:val="Compact"/>
      </w:pPr>
      <w:r>
        <w:rPr>
          <w:bCs/>
          <w:b/>
        </w:rPr>
        <w:t xml:space="preserve">Élèves produisent</w:t>
      </w:r>
      <w:r>
        <w:t xml:space="preserve"> </w:t>
      </w:r>
      <w:r>
        <w:t xml:space="preserve">: une liste collective de</w:t>
      </w:r>
      <w:r>
        <w:t xml:space="preserve"> </w:t>
      </w:r>
      <w:r>
        <w:rPr>
          <w:bCs/>
          <w:b/>
        </w:rPr>
        <w:t xml:space="preserve">gestes du témoin actif</w:t>
      </w:r>
      <w:r>
        <w:t xml:space="preserve"> </w:t>
      </w:r>
      <w:r>
        <w:t xml:space="preserve">(ne pas relayer, soutenir la cible, garder une preuve, parler à un adulte, appeler le 3018).</w:t>
      </w:r>
    </w:p>
    <w:p>
      <w:pPr>
        <w:numPr>
          <w:ilvl w:val="0"/>
          <w:numId w:val="1006"/>
        </w:numPr>
        <w:pStyle w:val="Compact"/>
      </w:pPr>
      <w:r>
        <w:rPr>
          <w:bCs/>
          <w:b/>
        </w:rPr>
        <w:t xml:space="preserve">Transition</w:t>
      </w:r>
      <w:r>
        <w:t xml:space="preserve"> </w:t>
      </w:r>
      <w:r>
        <w:t xml:space="preserve">: « Écrivons ensemble ce que nous retenons. »</w:t>
      </w:r>
    </w:p>
    <w:bookmarkEnd w:id="31"/>
    <w:bookmarkStart w:id="32" w:name="X41a057beac7b40ba0b3cd189452035db21e225e"/>
    <w:p>
      <w:pPr>
        <w:pStyle w:val="Heading3"/>
      </w:pPr>
      <w:r>
        <w:t xml:space="preserve">Phase 4 — Trace écrite co-construite (7 min) —</w:t>
      </w:r>
      <w:r>
        <w:t xml:space="preserve"> </w:t>
      </w:r>
      <w:r>
        <w:rPr>
          <w:iCs/>
          <w:i/>
        </w:rPr>
        <w:t xml:space="preserve">collectif</w:t>
      </w:r>
    </w:p>
    <w:p>
      <w:pPr>
        <w:numPr>
          <w:ilvl w:val="0"/>
          <w:numId w:val="1007"/>
        </w:numPr>
        <w:pStyle w:val="Compact"/>
      </w:pPr>
      <w:r>
        <w:rPr>
          <w:bCs/>
          <w:b/>
        </w:rPr>
        <w:t xml:space="preserve">Professeur</w:t>
      </w:r>
      <w:r>
        <w:t xml:space="preserve"> </w:t>
      </w:r>
      <w:r>
        <w:t xml:space="preserve">construit la trace</w:t>
      </w:r>
      <w:r>
        <w:t xml:space="preserve"> </w:t>
      </w:r>
      <w:r>
        <w:rPr>
          <w:bCs/>
          <w:b/>
        </w:rPr>
        <w:t xml:space="preserve">à partir des mots déjà notés au tableau</w:t>
      </w:r>
      <w:r>
        <w:t xml:space="preserve"> </w:t>
      </w:r>
      <w:r>
        <w:t xml:space="preserve">(jamais une dictée, jamais un texte à recopier). Forme retenue :</w:t>
      </w:r>
      <w:r>
        <w:t xml:space="preserve"> </w:t>
      </w:r>
      <w:r>
        <w:rPr>
          <w:bCs/>
          <w:b/>
        </w:rPr>
        <w:t xml:space="preserve">carte mentale</w:t>
      </w:r>
      <w:r>
        <w:t xml:space="preserve"> </w:t>
      </w:r>
      <w:r>
        <w:t xml:space="preserve">(voir § 8). Il fait formuler explicitement que le harcèlement est</w:t>
      </w:r>
      <w:r>
        <w:t xml:space="preserve"> </w:t>
      </w:r>
      <w:r>
        <w:rPr>
          <w:bCs/>
          <w:b/>
        </w:rPr>
        <w:t xml:space="preserve">interdit et puni par la loi</w:t>
      </w:r>
      <w:r>
        <w:t xml:space="preserve">.</w:t>
      </w:r>
    </w:p>
    <w:p>
      <w:pPr>
        <w:numPr>
          <w:ilvl w:val="0"/>
          <w:numId w:val="1007"/>
        </w:numPr>
        <w:pStyle w:val="Compact"/>
      </w:pPr>
      <w:r>
        <w:rPr>
          <w:bCs/>
          <w:b/>
        </w:rPr>
        <w:t xml:space="preserve">Élèves produisent</w:t>
      </w:r>
      <w:r>
        <w:t xml:space="preserve"> </w:t>
      </w:r>
      <w:r>
        <w:t xml:space="preserve">: ils recopient/complètent la carte mentale et écrivent leur phrase d’engagement.</w:t>
      </w:r>
    </w:p>
    <w:p>
      <w:pPr>
        <w:numPr>
          <w:ilvl w:val="0"/>
          <w:numId w:val="1007"/>
        </w:numPr>
        <w:pStyle w:val="Compact"/>
      </w:pPr>
      <w:r>
        <w:rPr>
          <w:bCs/>
          <w:b/>
        </w:rPr>
        <w:t xml:space="preserve">Transition</w:t>
      </w:r>
      <w:r>
        <w:t xml:space="preserve"> </w:t>
      </w:r>
      <w:r>
        <w:t xml:space="preserve">: « Avant de ranger, on vérifie ce qu’on sait faire. »</w:t>
      </w:r>
    </w:p>
    <w:bookmarkEnd w:id="32"/>
    <w:bookmarkStart w:id="33" w:name="Xedc26e26b2be098a8f3c8243905f84c154a1223"/>
    <w:p>
      <w:pPr>
        <w:pStyle w:val="Heading3"/>
      </w:pPr>
      <w:r>
        <w:t xml:space="preserve">Phase 5 — Auto-évaluation, bilan, rangement (5 min) —</w:t>
      </w:r>
      <w:r>
        <w:t xml:space="preserve"> </w:t>
      </w:r>
      <w:r>
        <w:rPr>
          <w:iCs/>
          <w:i/>
        </w:rPr>
        <w:t xml:space="preserve">individuel puis collectif</w:t>
      </w:r>
    </w:p>
    <w:p>
      <w:pPr>
        <w:numPr>
          <w:ilvl w:val="0"/>
          <w:numId w:val="1008"/>
        </w:numPr>
        <w:pStyle w:val="Compact"/>
      </w:pPr>
      <w:r>
        <w:rPr>
          <w:bCs/>
          <w:b/>
        </w:rPr>
        <w:t xml:space="preserve">Élèves</w:t>
      </w:r>
      <w:r>
        <w:t xml:space="preserve"> </w:t>
      </w:r>
      <w:r>
        <w:t xml:space="preserve">: remplissent la grille à indicateurs (§ 9), rangent.</w:t>
      </w:r>
    </w:p>
    <w:p>
      <w:pPr>
        <w:numPr>
          <w:ilvl w:val="0"/>
          <w:numId w:val="1008"/>
        </w:numPr>
        <w:pStyle w:val="Compact"/>
      </w:pPr>
      <w:r>
        <w:rPr>
          <w:bCs/>
          <w:b/>
        </w:rPr>
        <w:t xml:space="preserve">Professeur</w:t>
      </w:r>
      <w:r>
        <w:t xml:space="preserve"> </w:t>
      </w:r>
      <w:r>
        <w:t xml:space="preserve">: bilan oral en une phrase (3 élèves : reconnaître / refuser / agir),</w:t>
      </w:r>
      <w:r>
        <w:t xml:space="preserve"> </w:t>
      </w:r>
      <w:r>
        <w:rPr>
          <w:bCs/>
          <w:b/>
        </w:rPr>
        <w:t xml:space="preserve">rappelle le 3018</w:t>
      </w:r>
      <w:r>
        <w:t xml:space="preserve"> </w:t>
      </w:r>
      <w:r>
        <w:t xml:space="preserve">et nomme les adultes-ressources, libère la classe dans le calme.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Intitulé</w:t>
            </w:r>
          </w:p>
        </w:tc>
        <w:tc>
          <w:tcPr/>
          <w:p>
            <w:pPr>
              <w:pStyle w:val="Compact"/>
              <w:jc w:val="left"/>
            </w:pPr>
            <w:r>
              <w:t xml:space="preserve">Durée</w:t>
            </w:r>
          </w:p>
        </w:tc>
      </w:tr>
      <w:tr>
        <w:tc>
          <w:tcPr/>
          <w:p>
            <w:pPr>
              <w:pStyle w:val="Compact"/>
              <w:jc w:val="left"/>
            </w:pPr>
            <w:r>
              <w:t xml:space="preserve">0</w:t>
            </w:r>
          </w:p>
        </w:tc>
        <w:tc>
          <w:tcPr/>
          <w:p>
            <w:pPr>
              <w:pStyle w:val="Compact"/>
              <w:jc w:val="left"/>
            </w:pPr>
            <w:r>
              <w:t xml:space="preserve">Accueil, appel, installation, objectif</w:t>
            </w:r>
          </w:p>
        </w:tc>
        <w:tc>
          <w:tcPr/>
          <w:p>
            <w:pPr>
              <w:pStyle w:val="Compact"/>
              <w:jc w:val="left"/>
            </w:pPr>
            <w:r>
              <w:t xml:space="preserve">5 min</w:t>
            </w:r>
          </w:p>
        </w:tc>
      </w:tr>
      <w:tr>
        <w:tc>
          <w:tcPr/>
          <w:p>
            <w:pPr>
              <w:pStyle w:val="Compact"/>
              <w:jc w:val="left"/>
            </w:pPr>
            <w:r>
              <w:t xml:space="preserve">1</w:t>
            </w:r>
          </w:p>
        </w:tc>
        <w:tc>
          <w:tcPr/>
          <w:p>
            <w:pPr>
              <w:pStyle w:val="Compact"/>
              <w:jc w:val="left"/>
            </w:pPr>
            <w:r>
              <w:t xml:space="preserve">Reconnaître (étude de cas fictive) + stop pédagogique</w:t>
            </w:r>
          </w:p>
        </w:tc>
        <w:tc>
          <w:tcPr/>
          <w:p>
            <w:pPr>
              <w:pStyle w:val="Compact"/>
              <w:jc w:val="left"/>
            </w:pPr>
            <w:r>
              <w:t xml:space="preserve">12 min</w:t>
            </w:r>
          </w:p>
        </w:tc>
      </w:tr>
      <w:tr>
        <w:tc>
          <w:tcPr/>
          <w:p>
            <w:pPr>
              <w:pStyle w:val="Compact"/>
              <w:jc w:val="left"/>
            </w:pPr>
            <w:r>
              <w:t xml:space="preserve">2</w:t>
            </w:r>
          </w:p>
        </w:tc>
        <w:tc>
          <w:tcPr/>
          <w:p>
            <w:pPr>
              <w:pStyle w:val="Compact"/>
              <w:jc w:val="left"/>
            </w:pPr>
            <w:r>
              <w:t xml:space="preserve">Faits / opinions / croyances</w:t>
            </w:r>
          </w:p>
        </w:tc>
        <w:tc>
          <w:tcPr/>
          <w:p>
            <w:pPr>
              <w:pStyle w:val="Compact"/>
              <w:jc w:val="left"/>
            </w:pPr>
            <w:r>
              <w:t xml:space="preserve">6 min</w:t>
            </w:r>
          </w:p>
        </w:tc>
      </w:tr>
      <w:tr>
        <w:tc>
          <w:tcPr/>
          <w:p>
            <w:pPr>
              <w:pStyle w:val="Compact"/>
              <w:jc w:val="left"/>
            </w:pPr>
            <w:r>
              <w:t xml:space="preserve">3</w:t>
            </w:r>
          </w:p>
        </w:tc>
        <w:tc>
          <w:tcPr/>
          <w:p>
            <w:pPr>
              <w:pStyle w:val="Compact"/>
              <w:jc w:val="left"/>
            </w:pPr>
            <w:r>
              <w:t xml:space="preserve">Dilemme + débat réglé + stop pédagogique</w:t>
            </w:r>
          </w:p>
        </w:tc>
        <w:tc>
          <w:tcPr/>
          <w:p>
            <w:pPr>
              <w:pStyle w:val="Compact"/>
              <w:jc w:val="left"/>
            </w:pPr>
            <w:r>
              <w:t xml:space="preserve">12 min</w:t>
            </w:r>
          </w:p>
        </w:tc>
      </w:tr>
      <w:tr>
        <w:tc>
          <w:tcPr/>
          <w:p>
            <w:pPr>
              <w:pStyle w:val="Compact"/>
              <w:jc w:val="left"/>
            </w:pPr>
            <w:r>
              <w:t xml:space="preserve">4</w:t>
            </w:r>
          </w:p>
        </w:tc>
        <w:tc>
          <w:tcPr/>
          <w:p>
            <w:pPr>
              <w:pStyle w:val="Compact"/>
              <w:jc w:val="left"/>
            </w:pPr>
            <w:r>
              <w:t xml:space="preserve">Trace écrite co-construite</w:t>
            </w:r>
          </w:p>
        </w:tc>
        <w:tc>
          <w:tcPr/>
          <w:p>
            <w:pPr>
              <w:pStyle w:val="Compact"/>
              <w:jc w:val="left"/>
            </w:pPr>
            <w:r>
              <w:t xml:space="preserve">7 min</w:t>
            </w:r>
          </w:p>
        </w:tc>
      </w:tr>
      <w:tr>
        <w:tc>
          <w:tcPr/>
          <w:p>
            <w:pPr>
              <w:pStyle w:val="Compact"/>
              <w:jc w:val="left"/>
            </w:pPr>
            <w:r>
              <w:t xml:space="preserve">5</w:t>
            </w:r>
          </w:p>
        </w:tc>
        <w:tc>
          <w:tcPr/>
          <w:p>
            <w:pPr>
              <w:pStyle w:val="Compact"/>
              <w:jc w:val="left"/>
            </w:pPr>
            <w:r>
              <w:t xml:space="preserve">Auto-évaluation, bilan, rangement</w:t>
            </w:r>
          </w:p>
        </w:tc>
        <w:tc>
          <w:tcPr/>
          <w:p>
            <w:pPr>
              <w:pStyle w:val="Compact"/>
              <w:jc w:val="left"/>
            </w:pPr>
            <w:r>
              <w:t xml:space="preserve">5 min</w:t>
            </w:r>
          </w:p>
        </w:tc>
      </w:tr>
      <w:tr>
        <w:tc>
          <w:tcPr/>
          <w:p>
            <w:pPr>
              <w:pStyle w:val="Compact"/>
              <w:jc w:val="left"/>
            </w:pPr>
            <w:r>
              <w:rPr>
                <w:bCs/>
                <w:b/>
              </w:rPr>
              <w:t xml:space="preserve">Total</w:t>
            </w:r>
          </w:p>
        </w:tc>
        <w:tc>
          <w:tcPr/>
          <w:p>
            <w:pPr>
              <w:pStyle w:val="Compact"/>
            </w:pPr>
          </w:p>
        </w:tc>
        <w:tc>
          <w:tcPr/>
          <w:p>
            <w:pPr>
              <w:pStyle w:val="Compact"/>
              <w:jc w:val="left"/>
            </w:pPr>
            <w:r>
              <w:rPr>
                <w:bCs/>
                <w:b/>
              </w:rPr>
              <w:t xml:space="preserve">55 min</w:t>
            </w:r>
          </w:p>
        </w:tc>
      </w:tr>
    </w:tbl>
    <w:p>
      <w:pPr>
        <w:pStyle w:val="BodyText"/>
      </w:pPr>
      <w:r>
        <w:rPr>
          <w:iCs/>
          <w:i/>
        </w:rPr>
        <w:t xml:space="preserve">Phases d’apprentissage (1-4) ≈ 45 min ; routines (0 + 5) = 10 min ; total = 55 min.</w:t>
      </w:r>
    </w:p>
    <w:p>
      <w:r>
        <w:pict>
          <v:rect style="width:0;height:1.5pt" o:hralign="center" o:hrstd="t" o:hr="t"/>
        </w:pict>
      </w:r>
    </w:p>
    <w:bookmarkEnd w:id="33"/>
    <w:bookmarkEnd w:id="34"/>
    <w:bookmarkStart w:id="35" w:name="X09fcf92e00726773020c1245bcd22eac33ea644"/>
    <w:p>
      <w:pPr>
        <w:pStyle w:val="Heading2"/>
      </w:pPr>
      <w:r>
        <w:t xml:space="preserve">7. Différenciation et gestion de l’hétérogénéité</w:t>
      </w:r>
    </w:p>
    <w:p>
      <w:pPr>
        <w:numPr>
          <w:ilvl w:val="0"/>
          <w:numId w:val="1009"/>
        </w:numPr>
        <w:pStyle w:val="Compact"/>
      </w:pPr>
      <w:r>
        <w:rPr>
          <w:bCs/>
          <w:b/>
        </w:rPr>
        <w:t xml:space="preserve">Difficulté de lecture</w:t>
      </w:r>
      <w:r>
        <w:t xml:space="preserve"> </w:t>
      </w:r>
      <w:r>
        <w:t xml:space="preserve">: cas et dilemme</w:t>
      </w:r>
      <w:r>
        <w:t xml:space="preserve"> </w:t>
      </w:r>
      <w:r>
        <w:rPr>
          <w:bCs/>
          <w:b/>
        </w:rPr>
        <w:t xml:space="preserve">lus à voix haute</w:t>
      </w:r>
      <w:r>
        <w:t xml:space="preserve"> </w:t>
      </w:r>
      <w:r>
        <w:t xml:space="preserve">; version de la fiche avec définition à trous et pictogrammes ; étayage par le binôme.</w:t>
      </w:r>
    </w:p>
    <w:p>
      <w:pPr>
        <w:numPr>
          <w:ilvl w:val="0"/>
          <w:numId w:val="1009"/>
        </w:numPr>
        <w:pStyle w:val="Compact"/>
      </w:pPr>
      <w:r>
        <w:rPr>
          <w:bCs/>
          <w:b/>
        </w:rPr>
        <w:t xml:space="preserve">Peu à l’aise à l’oral</w:t>
      </w:r>
      <w:r>
        <w:t xml:space="preserve"> </w:t>
      </w:r>
      <w:r>
        <w:t xml:space="preserve">: le</w:t>
      </w:r>
      <w:r>
        <w:t xml:space="preserve"> </w:t>
      </w:r>
      <w:r>
        <w:rPr>
          <w:bCs/>
          <w:b/>
        </w:rPr>
        <w:t xml:space="preserve">recueil anonyme sur papier</w:t>
      </w:r>
      <w:r>
        <w:t xml:space="preserve"> </w:t>
      </w:r>
      <w:r>
        <w:t xml:space="preserve">permet de participer sans prise de parole publique — précieux pour une classe au climat à consolider.</w:t>
      </w:r>
    </w:p>
    <w:p>
      <w:pPr>
        <w:numPr>
          <w:ilvl w:val="0"/>
          <w:numId w:val="1009"/>
        </w:numPr>
        <w:pStyle w:val="Compact"/>
      </w:pPr>
      <w:r>
        <w:rPr>
          <w:bCs/>
          <w:b/>
        </w:rPr>
        <w:t xml:space="preserve">Binômes hétérogènes</w:t>
      </w:r>
      <w:r>
        <w:t xml:space="preserve"> </w:t>
      </w:r>
      <w:r>
        <w:t xml:space="preserve">constitués</w:t>
      </w:r>
      <w:r>
        <w:t xml:space="preserve"> </w:t>
      </w:r>
      <w:r>
        <w:rPr>
          <w:bCs/>
          <w:b/>
        </w:rPr>
        <w:t xml:space="preserve">par le professeur</w:t>
      </w:r>
      <w:r>
        <w:t xml:space="preserve"> </w:t>
      </w:r>
      <w:r>
        <w:t xml:space="preserve">(éviter les affinités clivantes).</w:t>
      </w:r>
    </w:p>
    <w:p>
      <w:pPr>
        <w:numPr>
          <w:ilvl w:val="0"/>
          <w:numId w:val="1009"/>
        </w:numPr>
        <w:pStyle w:val="Compact"/>
      </w:pPr>
      <w:r>
        <w:rPr>
          <w:bCs/>
          <w:b/>
        </w:rPr>
        <w:t xml:space="preserve">Élèves rapides</w:t>
      </w:r>
      <w:r>
        <w:t xml:space="preserve"> </w:t>
      </w:r>
      <w:r>
        <w:t xml:space="preserve">: carte d’approfondissement (§ 10).</w:t>
      </w:r>
    </w:p>
    <w:p>
      <w:pPr>
        <w:numPr>
          <w:ilvl w:val="0"/>
          <w:numId w:val="1009"/>
        </w:numPr>
        <w:pStyle w:val="Compact"/>
      </w:pPr>
      <w:r>
        <w:rPr>
          <w:bCs/>
          <w:b/>
        </w:rPr>
        <w:t xml:space="preserve">Élève potentiellement concerné</w:t>
      </w:r>
      <w:r>
        <w:t xml:space="preserve"> </w:t>
      </w:r>
      <w:r>
        <w:t xml:space="preserve">: aucune sollicitation nominative ; rappel discret du</w:t>
      </w:r>
      <w:r>
        <w:t xml:space="preserve"> </w:t>
      </w:r>
      <w:r>
        <w:rPr>
          <w:bCs/>
          <w:b/>
        </w:rPr>
        <w:t xml:space="preserve">droit de retrait</w:t>
      </w:r>
      <w:r>
        <w:t xml:space="preserve"> </w:t>
      </w:r>
      <w:r>
        <w:t xml:space="preserve">; entretien individuel proposé après le cours et relais vers l’adulte-ressource.</w:t>
      </w:r>
    </w:p>
    <w:p>
      <w:r>
        <w:pict>
          <v:rect style="width:0;height:1.5pt" o:hralign="center" o:hrstd="t" o:hr="t"/>
        </w:pict>
      </w:r>
    </w:p>
    <w:bookmarkEnd w:id="35"/>
    <w:bookmarkStart w:id="36" w:name="X8118b28bdace04a3ace16e85fad55049dbe7660"/>
    <w:p>
      <w:pPr>
        <w:pStyle w:val="Heading2"/>
      </w:pPr>
      <w:r>
        <w:t xml:space="preserve">8. Trace écrite (forme : carte mentale co-construite)</w:t>
      </w:r>
    </w:p>
    <w:p>
      <w:pPr>
        <w:pStyle w:val="FirstParagraph"/>
      </w:pPr>
      <w:r>
        <w:t xml:space="preserve">Reconstituée</w:t>
      </w:r>
      <w:r>
        <w:t xml:space="preserve"> </w:t>
      </w:r>
      <w:r>
        <w:rPr>
          <w:bCs/>
          <w:b/>
        </w:rPr>
        <w:t xml:space="preserve">à partir des formulations des élèves</w:t>
      </w:r>
      <w:r>
        <w:t xml:space="preserve"> </w:t>
      </w:r>
      <w:r>
        <w:t xml:space="preserve">notées au tableau (exemple de rendu) :</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Harcèlement (et cyberharcèlement)</w:t>
            </w:r>
          </w:p>
        </w:tc>
        <w:tc>
          <w:tcPr/>
          <w:p>
            <w:pPr>
              <w:pStyle w:val="Compact"/>
            </w:pPr>
          </w:p>
        </w:tc>
      </w:tr>
      <w:tr>
        <w:tc>
          <w:tcPr/>
          <w:p>
            <w:pPr>
              <w:pStyle w:val="Compact"/>
              <w:jc w:val="left"/>
            </w:pPr>
            <w:r>
              <w:rPr>
                <w:bCs/>
                <w:b/>
              </w:rPr>
              <w:t xml:space="preserve">C’est quoi ?</w:t>
            </w:r>
          </w:p>
        </w:tc>
        <w:tc>
          <w:tcPr/>
          <w:p>
            <w:pPr>
              <w:pStyle w:val="Compact"/>
              <w:jc w:val="left"/>
            </w:pPr>
            <w:r>
              <w:t xml:space="preserve">Répété, fait exprès, plusieurs contre un (rapport de domination) ; part souvent d’une</w:t>
            </w:r>
            <w:r>
              <w:t xml:space="preserve"> </w:t>
            </w:r>
            <w:r>
              <w:rPr>
                <w:bCs/>
                <w:b/>
              </w:rPr>
              <w:t xml:space="preserve">moquerie discriminatoire</w:t>
            </w:r>
            <w:r>
              <w:t xml:space="preserve"> </w:t>
            </w:r>
            <w:r>
              <w:t xml:space="preserve">(origine, apparence, genre, handicap…).</w:t>
            </w:r>
          </w:p>
        </w:tc>
      </w:tr>
      <w:tr>
        <w:tc>
          <w:tcPr/>
          <w:p>
            <w:pPr>
              <w:pStyle w:val="Compact"/>
              <w:jc w:val="left"/>
            </w:pPr>
            <w:r>
              <w:rPr>
                <w:bCs/>
                <w:b/>
              </w:rPr>
              <w:t xml:space="preserve">En ligne</w:t>
            </w:r>
          </w:p>
        </w:tc>
        <w:tc>
          <w:tcPr/>
          <w:p>
            <w:pPr>
              <w:pStyle w:val="Compact"/>
              <w:jc w:val="left"/>
            </w:pPr>
            <w:r>
              <w:t xml:space="preserve">Ça ne s’arrête pas, c’est vu par beaucoup, ça reste =</w:t>
            </w:r>
            <w:r>
              <w:t xml:space="preserve"> </w:t>
            </w:r>
            <w:r>
              <w:rPr>
                <w:bCs/>
                <w:b/>
              </w:rPr>
              <w:t xml:space="preserve">cyberharcèlement</w:t>
            </w:r>
            <w:r>
              <w:t xml:space="preserve">, lié au discours de haine en ligne.</w:t>
            </w:r>
          </w:p>
        </w:tc>
      </w:tr>
      <w:tr>
        <w:tc>
          <w:tcPr/>
          <w:p>
            <w:pPr>
              <w:pStyle w:val="Compact"/>
              <w:jc w:val="left"/>
            </w:pPr>
            <w:r>
              <w:rPr>
                <w:bCs/>
                <w:b/>
              </w:rPr>
              <w:t xml:space="preserve">La loi</w:t>
            </w:r>
          </w:p>
        </w:tc>
        <w:tc>
          <w:tcPr/>
          <w:p>
            <w:pPr>
              <w:pStyle w:val="Compact"/>
              <w:jc w:val="left"/>
            </w:pPr>
            <w:r>
              <w:t xml:space="preserve">Le harcèlement scolaire est</w:t>
            </w:r>
            <w:r>
              <w:t xml:space="preserve"> </w:t>
            </w:r>
            <w:r>
              <w:rPr>
                <w:bCs/>
                <w:b/>
              </w:rPr>
              <w:t xml:space="preserve">interdit et puni par la loi</w:t>
            </w:r>
            <w:r>
              <w:t xml:space="preserve"> </w:t>
            </w:r>
            <w:r>
              <w:t xml:space="preserve">: c’est un</w:t>
            </w:r>
            <w:r>
              <w:t xml:space="preserve"> </w:t>
            </w:r>
            <w:r>
              <w:rPr>
                <w:bCs/>
                <w:b/>
              </w:rPr>
              <w:t xml:space="preserve">délit depuis 2022</w:t>
            </w:r>
            <w:r>
              <w:t xml:space="preserve"> </w:t>
            </w:r>
            <w:r>
              <w:t xml:space="preserve">(y compris en ligne).</w:t>
            </w:r>
          </w:p>
        </w:tc>
      </w:tr>
      <w:tr>
        <w:tc>
          <w:tcPr/>
          <w:p>
            <w:pPr>
              <w:pStyle w:val="Compact"/>
              <w:jc w:val="left"/>
            </w:pPr>
            <w:r>
              <w:rPr>
                <w:bCs/>
                <w:b/>
              </w:rPr>
              <w:t xml:space="preserve">J’agis</w:t>
            </w:r>
          </w:p>
        </w:tc>
        <w:tc>
          <w:tcPr/>
          <w:p>
            <w:pPr>
              <w:pStyle w:val="Compact"/>
              <w:jc w:val="left"/>
            </w:pPr>
            <w:r>
              <w:t xml:space="preserve">Je n’aggrave pas ; je soutiens la cible ; un</w:t>
            </w:r>
            <w:r>
              <w:t xml:space="preserve"> </w:t>
            </w:r>
            <w:r>
              <w:rPr>
                <w:bCs/>
                <w:b/>
              </w:rPr>
              <w:t xml:space="preserve">témoin</w:t>
            </w:r>
            <w:r>
              <w:t xml:space="preserve"> </w:t>
            </w:r>
            <w:r>
              <w:t xml:space="preserve">peut tout changer ; j’en parle à un</w:t>
            </w:r>
            <w:r>
              <w:t xml:space="preserve"> </w:t>
            </w:r>
            <w:r>
              <w:rPr>
                <w:bCs/>
                <w:b/>
              </w:rPr>
              <w:t xml:space="preserve">adulte-ressource</w:t>
            </w:r>
            <w:r>
              <w:t xml:space="preserve"> </w:t>
            </w:r>
            <w:r>
              <w:t xml:space="preserve">;</w:t>
            </w:r>
            <w:r>
              <w:t xml:space="preserve"> </w:t>
            </w:r>
            <w:r>
              <w:rPr>
                <w:bCs/>
                <w:b/>
              </w:rPr>
              <w:t xml:space="preserve">3018</w:t>
            </w:r>
            <w:r>
              <w:t xml:space="preserve">.</w:t>
            </w:r>
          </w:p>
        </w:tc>
      </w:tr>
    </w:tbl>
    <w:p>
      <w:pPr>
        <w:pStyle w:val="BodyText"/>
      </w:pPr>
      <w:r>
        <w:rPr>
          <w:iCs/>
          <w:i/>
        </w:rPr>
        <w:t xml:space="preserve">Mon engagement (une phrase) : « Si je vois une situation de harcèlement, je … »</w:t>
      </w:r>
    </w:p>
    <w:p>
      <w:r>
        <w:pict>
          <v:rect style="width:0;height:1.5pt" o:hralign="center" o:hrstd="t" o:hr="t"/>
        </w:pict>
      </w:r>
    </w:p>
    <w:bookmarkEnd w:id="36"/>
    <w:bookmarkStart w:id="37" w:name="Xe4c73d878afa369ec835460091008cce09f52cb"/>
    <w:p>
      <w:pPr>
        <w:pStyle w:val="Heading2"/>
      </w:pPr>
      <w:r>
        <w:t xml:space="preserve">9. Auto-évaluation des élèves (indicateurs de réussite observables)</w:t>
      </w:r>
    </w:p>
    <w:p>
      <w:pPr>
        <w:pStyle w:val="FirstParagraph"/>
      </w:pPr>
      <w:r>
        <w:t xml:space="preserve">L’élève coche le niveau qui correspond à ce qu’il</w:t>
      </w:r>
      <w:r>
        <w:t xml:space="preserve"> </w:t>
      </w:r>
      <w:r>
        <w:rPr>
          <w:bCs/>
          <w:b/>
        </w:rPr>
        <w:t xml:space="preserve">sait faire</w:t>
      </w:r>
      <w:r>
        <w:t xml:space="preserve"> </w:t>
      </w:r>
      <w:r>
        <w:t xml:space="preserve">— avec des indicateurs concrets, pas un simple « j’ai compris ».</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Je sais…</w:t>
            </w:r>
          </w:p>
        </w:tc>
        <w:tc>
          <w:tcPr/>
          <w:p>
            <w:pPr>
              <w:pStyle w:val="Compact"/>
              <w:jc w:val="left"/>
            </w:pPr>
            <w:r>
              <w:t xml:space="preserve">Réussi — indicateur observable</w:t>
            </w:r>
          </w:p>
        </w:tc>
        <w:tc>
          <w:tcPr/>
          <w:p>
            <w:pPr>
              <w:pStyle w:val="Compact"/>
              <w:jc w:val="left"/>
            </w:pPr>
            <w:r>
              <w:t xml:space="preserve">À retravailler</w:t>
            </w:r>
          </w:p>
        </w:tc>
      </w:tr>
      <w:tr>
        <w:tc>
          <w:tcPr/>
          <w:p>
            <w:pPr>
              <w:pStyle w:val="Compact"/>
              <w:jc w:val="left"/>
            </w:pPr>
            <w:r>
              <w:rPr>
                <w:bCs/>
                <w:b/>
              </w:rPr>
              <w:t xml:space="preserve">définir le harcèlement</w:t>
            </w:r>
          </w:p>
        </w:tc>
        <w:tc>
          <w:tcPr/>
          <w:p>
            <w:pPr>
              <w:pStyle w:val="Compact"/>
              <w:jc w:val="left"/>
            </w:pPr>
            <w:r>
              <w:t xml:space="preserve">Je cite les</w:t>
            </w:r>
            <w:r>
              <w:t xml:space="preserve"> </w:t>
            </w:r>
            <w:r>
              <w:rPr>
                <w:bCs/>
                <w:b/>
              </w:rPr>
              <w:t xml:space="preserve">3 caractéristiques</w:t>
            </w:r>
            <w:r>
              <w:t xml:space="preserve"> </w:t>
            </w:r>
            <w:r>
              <w:t xml:space="preserve">(répété, intentionnel, rapport de domination) +</w:t>
            </w:r>
            <w:r>
              <w:t xml:space="preserve"> </w:t>
            </w:r>
            <w:r>
              <w:rPr>
                <w:bCs/>
                <w:b/>
              </w:rPr>
              <w:t xml:space="preserve">1 exemple</w:t>
            </w:r>
            <w:r>
              <w:t xml:space="preserve"> </w:t>
            </w:r>
            <w:r>
              <w:t xml:space="preserve">qui le distingue d’une dispute</w:t>
            </w:r>
          </w:p>
        </w:tc>
        <w:tc>
          <w:tcPr/>
          <w:p>
            <w:pPr>
              <w:pStyle w:val="Compact"/>
              <w:jc w:val="left"/>
            </w:pPr>
            <w:r>
              <w:t xml:space="preserve">une ou deux seulement</w:t>
            </w:r>
          </w:p>
        </w:tc>
      </w:tr>
      <w:tr>
        <w:tc>
          <w:tcPr/>
          <w:p>
            <w:pPr>
              <w:pStyle w:val="Compact"/>
              <w:jc w:val="left"/>
            </w:pPr>
            <w:r>
              <w:rPr>
                <w:bCs/>
                <w:b/>
              </w:rPr>
              <w:t xml:space="preserve">voir la racine discriminatoire</w:t>
            </w:r>
          </w:p>
        </w:tc>
        <w:tc>
          <w:tcPr/>
          <w:p>
            <w:pPr>
              <w:pStyle w:val="Compact"/>
              <w:jc w:val="left"/>
            </w:pPr>
            <w:r>
              <w:t xml:space="preserve">Je dis</w:t>
            </w:r>
            <w:r>
              <w:t xml:space="preserve"> </w:t>
            </w:r>
            <w:r>
              <w:rPr>
                <w:bCs/>
                <w:b/>
              </w:rPr>
              <w:t xml:space="preserve">sur quoi</w:t>
            </w:r>
            <w:r>
              <w:t xml:space="preserve"> </w:t>
            </w:r>
            <w:r>
              <w:t xml:space="preserve">portent les moqueries et que c’est une discrimination</w:t>
            </w:r>
          </w:p>
        </w:tc>
        <w:tc>
          <w:tcPr/>
          <w:p>
            <w:pPr>
              <w:pStyle w:val="Compact"/>
              <w:jc w:val="left"/>
            </w:pPr>
            <w:r>
              <w:t xml:space="preserve">je décris sans la nommer</w:t>
            </w:r>
          </w:p>
        </w:tc>
      </w:tr>
      <w:tr>
        <w:tc>
          <w:tcPr/>
          <w:p>
            <w:pPr>
              <w:pStyle w:val="Compact"/>
              <w:jc w:val="left"/>
            </w:pPr>
            <w:r>
              <w:rPr>
                <w:bCs/>
                <w:b/>
              </w:rPr>
              <w:t xml:space="preserve">expliquer le cyberharcèlement</w:t>
            </w:r>
          </w:p>
        </w:tc>
        <w:tc>
          <w:tcPr/>
          <w:p>
            <w:pPr>
              <w:pStyle w:val="Compact"/>
              <w:jc w:val="left"/>
            </w:pPr>
            <w:r>
              <w:t xml:space="preserve">Je donne</w:t>
            </w:r>
            <w:r>
              <w:t xml:space="preserve"> </w:t>
            </w:r>
            <w:r>
              <w:rPr>
                <w:bCs/>
                <w:b/>
              </w:rPr>
              <w:t xml:space="preserve">2 choses</w:t>
            </w:r>
            <w:r>
              <w:t xml:space="preserve"> </w:t>
            </w:r>
            <w:r>
              <w:t xml:space="preserve">que le numérique aggrave (ne s’arrête pas / public / reste)</w:t>
            </w:r>
          </w:p>
        </w:tc>
        <w:tc>
          <w:tcPr/>
          <w:p>
            <w:pPr>
              <w:pStyle w:val="Compact"/>
              <w:jc w:val="left"/>
            </w:pPr>
            <w:r>
              <w:t xml:space="preserve">aucune ou une seule</w:t>
            </w:r>
          </w:p>
        </w:tc>
      </w:tr>
      <w:tr>
        <w:tc>
          <w:tcPr/>
          <w:p>
            <w:pPr>
              <w:pStyle w:val="Compact"/>
              <w:jc w:val="left"/>
            </w:pPr>
            <w:r>
              <w:rPr>
                <w:bCs/>
                <w:b/>
              </w:rPr>
              <w:t xml:space="preserve">connaître le droit</w:t>
            </w:r>
          </w:p>
        </w:tc>
        <w:tc>
          <w:tcPr/>
          <w:p>
            <w:pPr>
              <w:pStyle w:val="Compact"/>
              <w:jc w:val="left"/>
            </w:pPr>
            <w:r>
              <w:t xml:space="preserve">J’écris que le harcèlement est</w:t>
            </w:r>
            <w:r>
              <w:t xml:space="preserve"> </w:t>
            </w:r>
            <w:r>
              <w:rPr>
                <w:bCs/>
                <w:b/>
              </w:rPr>
              <w:t xml:space="preserve">interdit et puni par la loi (délit depuis 2022)</w:t>
            </w:r>
          </w:p>
        </w:tc>
        <w:tc>
          <w:tcPr/>
          <w:p>
            <w:pPr>
              <w:pStyle w:val="Compact"/>
              <w:jc w:val="left"/>
            </w:pPr>
            <w:r>
              <w:t xml:space="preserve">« c’est mal » sans la loi</w:t>
            </w:r>
          </w:p>
        </w:tc>
      </w:tr>
      <w:tr>
        <w:tc>
          <w:tcPr/>
          <w:p>
            <w:pPr>
              <w:pStyle w:val="Compact"/>
              <w:jc w:val="left"/>
            </w:pPr>
            <w:r>
              <w:rPr>
                <w:bCs/>
                <w:b/>
              </w:rPr>
              <w:t xml:space="preserve">savoir agir</w:t>
            </w:r>
          </w:p>
        </w:tc>
        <w:tc>
          <w:tcPr/>
          <w:p>
            <w:pPr>
              <w:pStyle w:val="Compact"/>
              <w:jc w:val="left"/>
            </w:pPr>
            <w:r>
              <w:t xml:space="preserve">Je cite</w:t>
            </w:r>
            <w:r>
              <w:t xml:space="preserve"> </w:t>
            </w:r>
            <w:r>
              <w:rPr>
                <w:bCs/>
                <w:b/>
              </w:rPr>
              <w:t xml:space="preserve">2 actions</w:t>
            </w:r>
            <w:r>
              <w:t xml:space="preserve"> </w:t>
            </w:r>
            <w:r>
              <w:t xml:space="preserve">d’un témoin</w:t>
            </w:r>
            <w:r>
              <w:t xml:space="preserve"> </w:t>
            </w:r>
            <w:r>
              <w:rPr>
                <w:bCs/>
                <w:b/>
              </w:rPr>
              <w:t xml:space="preserve">et</w:t>
            </w:r>
            <w:r>
              <w:t xml:space="preserve"> </w:t>
            </w:r>
            <w:r>
              <w:t xml:space="preserve">le 3018 / un adulte-ressource</w:t>
            </w:r>
          </w:p>
        </w:tc>
        <w:tc>
          <w:tcPr/>
          <w:p>
            <w:pPr>
              <w:pStyle w:val="Compact"/>
              <w:jc w:val="left"/>
            </w:pPr>
            <w:r>
              <w:t xml:space="preserve">aucune action concrète</w:t>
            </w:r>
          </w:p>
        </w:tc>
      </w:tr>
    </w:tbl>
    <w:p>
      <w:pPr>
        <w:pStyle w:val="BodyText"/>
      </w:pPr>
      <w:r>
        <w:t xml:space="preserve">Dernière ligne libre :</w:t>
      </w:r>
      <w:r>
        <w:t xml:space="preserve"> </w:t>
      </w:r>
      <w:r>
        <w:rPr>
          <w:iCs/>
          <w:i/>
        </w:rPr>
        <w:t xml:space="preserve">« Une chose que je retiens / une question que je me pose. »</w:t>
      </w:r>
    </w:p>
    <w:p>
      <w:r>
        <w:pict>
          <v:rect style="width:0;height:1.5pt" o:hralign="center" o:hrstd="t" o:hr="t"/>
        </w:pict>
      </w:r>
    </w:p>
    <w:bookmarkEnd w:id="37"/>
    <w:bookmarkStart w:id="38" w:name="X2989feb001a283c084b3d4c8d1a568d3920677b"/>
    <w:p>
      <w:pPr>
        <w:pStyle w:val="Heading2"/>
      </w:pPr>
      <w:r>
        <w:t xml:space="preserve">10. Activités d’approfondissement (élèves rapides)</w:t>
      </w:r>
    </w:p>
    <w:p>
      <w:pPr>
        <w:numPr>
          <w:ilvl w:val="0"/>
          <w:numId w:val="1010"/>
        </w:numPr>
        <w:pStyle w:val="Compact"/>
      </w:pPr>
      <w:r>
        <w:rPr>
          <w:bCs/>
          <w:b/>
        </w:rPr>
        <w:t xml:space="preserve">Décrypter une affiche</w:t>
      </w:r>
      <w:r>
        <w:t xml:space="preserve"> </w:t>
      </w:r>
      <w:r>
        <w:t xml:space="preserve">(liens § 5) : repérer le message, la cible visée, le slogan ; proposer un</w:t>
      </w:r>
      <w:r>
        <w:t xml:space="preserve"> </w:t>
      </w:r>
      <w:r>
        <w:rPr>
          <w:bCs/>
          <w:b/>
        </w:rPr>
        <w:t xml:space="preserve">slogan de classe</w:t>
      </w:r>
      <w:r>
        <w:t xml:space="preserve">.</w:t>
      </w:r>
    </w:p>
    <w:p>
      <w:pPr>
        <w:numPr>
          <w:ilvl w:val="0"/>
          <w:numId w:val="1010"/>
        </w:numPr>
        <w:pStyle w:val="Compact"/>
      </w:pPr>
      <w:r>
        <w:rPr>
          <w:bCs/>
          <w:b/>
        </w:rPr>
        <w:t xml:space="preserve">Réécrire une « blague »</w:t>
      </w:r>
      <w:r>
        <w:t xml:space="preserve"> </w:t>
      </w:r>
      <w:r>
        <w:t xml:space="preserve">du cas en un message respectueux et expliquer ce qui change.</w:t>
      </w:r>
    </w:p>
    <w:p>
      <w:pPr>
        <w:numPr>
          <w:ilvl w:val="0"/>
          <w:numId w:val="1010"/>
        </w:numPr>
        <w:pStyle w:val="Compact"/>
      </w:pPr>
      <w:r>
        <w:rPr>
          <w:bCs/>
          <w:b/>
        </w:rPr>
        <w:t xml:space="preserve">Rédiger 3 conseils</w:t>
      </w:r>
      <w:r>
        <w:t xml:space="preserve"> </w:t>
      </w:r>
      <w:r>
        <w:t xml:space="preserve">pour un témoin face à une vidéo qui circule (sans la relayer, avec le 3018).</w:t>
      </w:r>
    </w:p>
    <w:p>
      <w:r>
        <w:pict>
          <v:rect style="width:0;height:1.5pt" o:hralign="center" o:hrstd="t" o:hr="t"/>
        </w:pict>
      </w:r>
    </w:p>
    <w:bookmarkEnd w:id="38"/>
    <w:bookmarkStart w:id="39" w:name="prolongements-possibles"/>
    <w:p>
      <w:pPr>
        <w:pStyle w:val="Heading2"/>
      </w:pPr>
      <w:r>
        <w:t xml:space="preserve">11. Prolongements possibles</w:t>
      </w:r>
    </w:p>
    <w:p>
      <w:pPr>
        <w:numPr>
          <w:ilvl w:val="0"/>
          <w:numId w:val="1011"/>
        </w:numPr>
        <w:pStyle w:val="Compact"/>
      </w:pPr>
      <w:r>
        <w:rPr>
          <w:bCs/>
          <w:b/>
        </w:rPr>
        <w:t xml:space="preserve">Séance suivante</w:t>
      </w:r>
      <w:r>
        <w:t xml:space="preserve"> </w:t>
      </w:r>
      <w:r>
        <w:t xml:space="preserve">: approfondir « lutter contre les discriminations » et « la solidarité et ses échelles » (entrées de 5ᵉ).</w:t>
      </w:r>
    </w:p>
    <w:p>
      <w:pPr>
        <w:numPr>
          <w:ilvl w:val="0"/>
          <w:numId w:val="1011"/>
        </w:numPr>
        <w:pStyle w:val="Compact"/>
      </w:pPr>
      <w:r>
        <w:rPr>
          <w:bCs/>
          <w:b/>
        </w:rPr>
        <w:t xml:space="preserve">Interdisciplinarité / EMI</w:t>
      </w:r>
      <w:r>
        <w:t xml:space="preserve"> </w:t>
      </w:r>
      <w:r>
        <w:t xml:space="preserve">: avec le professeur documentaliste, séance rattachée à l’entrée de 5ᵉ</w:t>
      </w:r>
      <w:r>
        <w:t xml:space="preserve"> </w:t>
      </w:r>
      <w:r>
        <w:rPr>
          <w:bCs/>
          <w:b/>
        </w:rPr>
        <w:t xml:space="preserve">« Discours de haine en ligne, lien avec les discriminations et cadre législatif »</w:t>
      </w:r>
      <w:r>
        <w:t xml:space="preserve">.</w:t>
      </w:r>
    </w:p>
    <w:p>
      <w:pPr>
        <w:numPr>
          <w:ilvl w:val="0"/>
          <w:numId w:val="1011"/>
        </w:numPr>
        <w:pStyle w:val="Compact"/>
      </w:pPr>
      <w:r>
        <w:rPr>
          <w:bCs/>
          <w:b/>
        </w:rPr>
        <w:t xml:space="preserve">Parcours citoyen / vie scolaire</w:t>
      </w:r>
      <w:r>
        <w:t xml:space="preserve"> </w:t>
      </w:r>
      <w:r>
        <w:t xml:space="preserve">: charte de classe, dispositif</w:t>
      </w:r>
      <w:r>
        <w:t xml:space="preserve"> </w:t>
      </w:r>
      <w:r>
        <w:rPr>
          <w:bCs/>
          <w:b/>
        </w:rPr>
        <w:t xml:space="preserve">pHARe</w:t>
      </w:r>
      <w:r>
        <w:t xml:space="preserve">, ambassadeurs « Non au harcèlement » ; diffusion du</w:t>
      </w:r>
      <w:r>
        <w:t xml:space="preserve"> </w:t>
      </w:r>
      <w:r>
        <w:rPr>
          <w:bCs/>
          <w:b/>
        </w:rPr>
        <w:t xml:space="preserve">3018</w:t>
      </w:r>
      <w:r>
        <w:t xml:space="preserve"> </w:t>
      </w:r>
      <w:r>
        <w:t xml:space="preserve">et des adultes-ressources via le carnet de liaison.</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fr-FR"/>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telechargements/matieres/emc/livret-emc-2024.pdf" TargetMode="External" /><Relationship Type="http://schemas.openxmlformats.org/officeDocument/2006/relationships/hyperlink" Id="rId20" Target="../../telechargements/matieres/emc/programme-emc-officiel.pdf" TargetMode="External" /><Relationship Type="http://schemas.openxmlformats.org/officeDocument/2006/relationships/hyperlink" Id="rId22" Target="../../telechargements/matieres/emc/projet-emc-csp-2024.pdf" TargetMode="External" /></Relationships>
</file>

<file path=word/_rels/footnotes.xml.rels><?xml version="1.0" encoding="UTF-8"?><Relationships xmlns="http://schemas.openxmlformats.org/package/2006/relationships"><Relationship Type="http://schemas.openxmlformats.org/officeDocument/2006/relationships/hyperlink" Id="rId21" Target="../../telechargements/matieres/emc/livret-emc-2024.pdf" TargetMode="External" /><Relationship Type="http://schemas.openxmlformats.org/officeDocument/2006/relationships/hyperlink" Id="rId20" Target="../../telechargements/matieres/emc/programme-emc-officiel.pdf" TargetMode="External" /><Relationship Type="http://schemas.openxmlformats.org/officeDocument/2006/relationships/hyperlink" Id="rId22" Target="../../telechargements/matieres/emc/projet-emc-csp-2024.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fr-FR</dc:language>
  <cp:keywords/>
  <dcterms:created xsi:type="dcterms:W3CDTF">2026-06-22T08:29:44Z</dcterms:created>
  <dcterms:modified xsi:type="dcterms:W3CDTF">2026-06-22T08:29:44Z</dcterms:modified>
</cp:coreProperties>
</file>

<file path=docProps/custom.xml><?xml version="1.0" encoding="utf-8"?>
<Properties xmlns="http://schemas.openxmlformats.org/officeDocument/2006/custom-properties" xmlns:vt="http://schemas.openxmlformats.org/officeDocument/2006/docPropsVTypes"/>
</file>