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L’égalité</w:t>
      </w:r>
      <w:r>
        <w:t xml:space="preserve"> </w:t>
      </w:r>
      <w:r>
        <w:t xml:space="preserve">et</w:t>
      </w:r>
      <w:r>
        <w:t xml:space="preserve"> </w:t>
      </w:r>
      <w:r>
        <w:t xml:space="preserve">la</w:t>
      </w:r>
      <w:r>
        <w:t xml:space="preserve"> </w:t>
      </w:r>
      <w:r>
        <w:t xml:space="preserve">lutte</w:t>
      </w:r>
      <w:r>
        <w:t xml:space="preserve"> </w:t>
      </w:r>
      <w:r>
        <w:t xml:space="preserve">contre</w:t>
      </w:r>
      <w:r>
        <w:t xml:space="preserve"> </w:t>
      </w:r>
      <w:r>
        <w:t xml:space="preserve">les</w:t>
      </w:r>
      <w:r>
        <w:t xml:space="preserve"> </w:t>
      </w:r>
      <w:r>
        <w:t xml:space="preserve">discriminations</w:t>
      </w:r>
      <w:r>
        <w:t xml:space="preserve"> </w:t>
      </w:r>
      <w:r>
        <w:t xml:space="preserve">—</w:t>
      </w:r>
      <w:r>
        <w:t xml:space="preserve"> </w:t>
      </w:r>
      <w:r>
        <w:t xml:space="preserve">plan</w:t>
      </w:r>
      <w:r>
        <w:t xml:space="preserve"> </w:t>
      </w:r>
      <w:r>
        <w:t xml:space="preserve">de</w:t>
      </w:r>
      <w:r>
        <w:t xml:space="preserve"> </w:t>
      </w:r>
      <w:r>
        <w:t xml:space="preserve">travail</w:t>
      </w:r>
      <w:r>
        <w:t xml:space="preserve"> </w:t>
      </w:r>
      <w:r>
        <w:t xml:space="preserve">autonome</w:t>
      </w:r>
    </w:p>
    <w:p>
      <w:pPr>
        <w:pStyle w:val="Subtitle"/>
      </w:pPr>
      <w:r>
        <w:t xml:space="preserve">EMC</w:t>
      </w:r>
      <w:r>
        <w:t xml:space="preserve"> </w:t>
      </w:r>
      <w:r>
        <w:t xml:space="preserve">5e</w:t>
      </w:r>
      <w:r>
        <w:t xml:space="preserve"> </w:t>
      </w:r>
      <w:r>
        <w:t xml:space="preserve">·</w:t>
      </w:r>
      <w:r>
        <w:t xml:space="preserve"> </w:t>
      </w:r>
      <w:r>
        <w:t xml:space="preserve">Version</w:t>
      </w:r>
      <w:r>
        <w:t xml:space="preserve"> </w:t>
      </w:r>
      <w:r>
        <w:t xml:space="preserve">élève</w:t>
      </w:r>
    </w:p>
    <w:p>
      <w:pPr>
        <w:pStyle w:val="BlockText"/>
      </w:pPr>
      <w:r>
        <w:t xml:space="preserve">📑</w:t>
      </w:r>
      <w:r>
        <w:t xml:space="preserve"> </w:t>
      </w:r>
      <w:r>
        <w:rPr>
          <w:bCs/>
          <w:b/>
        </w:rPr>
        <w:t xml:space="preserve">Le sommaire ci-dessous doit être actualisé</w:t>
      </w:r>
      <w:r>
        <w:t xml:space="preserve"> </w:t>
      </w:r>
      <w:r>
        <w:t xml:space="preserve">: faites</w:t>
      </w:r>
      <w:r>
        <w:t xml:space="preserve"> </w:t>
      </w:r>
      <w:r>
        <w:rPr>
          <w:bCs/>
          <w:b/>
        </w:rPr>
        <w:t xml:space="preserve">clic droit dessus → « Mettre à jour les champs »</w:t>
      </w:r>
      <w:r>
        <w:t xml:space="preserve"> </w:t>
      </w:r>
      <w:r>
        <w:t xml:space="preserve">(ou cliquez-le, puis appuyez sur</w:t>
      </w:r>
      <w:r>
        <w:t xml:space="preserve"> </w:t>
      </w:r>
      <w:r>
        <w:rPr>
          <w:bCs/>
          <w:b/>
        </w:rPr>
        <w:t xml:space="preserve">F9</w:t>
      </w:r>
      <w:r>
        <w:t xml:space="preserve">).</w:t>
      </w:r>
    </w:p>
    <w:p>
      <w:r>
        <w:rPr>
          <w:b/>
          <w:sz w:val="28"/>
        </w:rPr>
        <w:t>Sommaire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Sommaire vide ? Clic droit ici → « Mettre à jour les champs » (ou F9).</w:t>
      </w:r>
      <w:r>
        <w:fldChar w:fldCharType="end"/>
      </w:r>
    </w:p>
    <w:p>
      <w:r>
        <w:br w:type="page"/>
      </w:r>
    </w:p>
    <w:bookmarkStart w:id="26" w:name="plan-de-travail-élève"/>
    <w:p>
      <w:pPr>
        <w:pStyle w:val="Heading1"/>
      </w:pPr>
      <w:r>
        <w:t xml:space="preserve">Plan de travail — élève</w:t>
      </w:r>
    </w:p>
    <w:p>
      <w:pPr>
        <w:pStyle w:val="FirstParagraph"/>
      </w:pPr>
      <w:r>
        <w:t xml:space="preserve">Feuille de route élève. Tu avances à ton rythme, mais TOUTES les tâches SOCLE doivent être faites. Les tâches avec une étoile (★) sont de l’approfondissement : tu les fais si tu as terminé le socle.</w:t>
      </w:r>
    </w:p>
    <w:p>
      <w:r>
        <w:pict>
          <v:rect style="width:0;height:1.5pt" o:hralign="center" o:hrstd="t" o:hr="t"/>
        </w:pict>
      </w:r>
    </w:p>
    <w:bookmarkStart w:id="20" w:name="ce-que-je-vais-apprendre"/>
    <w:p>
      <w:pPr>
        <w:pStyle w:val="Heading2"/>
      </w:pPr>
      <w:r>
        <w:t xml:space="preserve">1. Ce que je vais apprendre</w:t>
      </w:r>
    </w:p>
    <w:p>
      <w:pPr>
        <w:pStyle w:val="FirstParagraph"/>
      </w:pPr>
      <w:r>
        <w:t xml:space="preserve">À la fin de ce plan de travail, je dois être capable de :</w:t>
      </w:r>
    </w:p>
    <w:p>
      <w:pPr>
        <w:numPr>
          <w:ilvl w:val="0"/>
          <w:numId w:val="1001"/>
        </w:numPr>
        <w:pStyle w:val="Compact"/>
      </w:pPr>
      <w:r>
        <w:t xml:space="preserve">distinguer une</w:t>
      </w:r>
      <w:r>
        <w:t xml:space="preserve"> </w:t>
      </w:r>
      <w:r>
        <w:rPr>
          <w:bCs/>
          <w:b/>
        </w:rPr>
        <w:t xml:space="preserve">différence</w:t>
      </w:r>
      <w:r>
        <w:t xml:space="preserve">, une</w:t>
      </w:r>
      <w:r>
        <w:t xml:space="preserve"> </w:t>
      </w:r>
      <w:r>
        <w:rPr>
          <w:bCs/>
          <w:b/>
        </w:rPr>
        <w:t xml:space="preserve">inégalité</w:t>
      </w:r>
      <w:r>
        <w:t xml:space="preserve"> </w:t>
      </w:r>
      <w:r>
        <w:t xml:space="preserve">et une</w:t>
      </w:r>
      <w:r>
        <w:t xml:space="preserve"> </w:t>
      </w:r>
      <w:r>
        <w:rPr>
          <w:bCs/>
          <w:b/>
        </w:rPr>
        <w:t xml:space="preserve">discrimination</w:t>
      </w:r>
      <w:r>
        <w:t xml:space="preserve"> 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t xml:space="preserve">expliquer le</w:t>
      </w:r>
      <w:r>
        <w:t xml:space="preserve"> </w:t>
      </w:r>
      <w:r>
        <w:rPr>
          <w:bCs/>
          <w:b/>
        </w:rPr>
        <w:t xml:space="preserve">mécanisme</w:t>
      </w:r>
      <w:r>
        <w:t xml:space="preserve"> </w:t>
      </w:r>
      <w:r>
        <w:t xml:space="preserve">: stéréotype → préjugé → discrimination ;</w:t>
      </w:r>
    </w:p>
    <w:p>
      <w:pPr>
        <w:numPr>
          <w:ilvl w:val="0"/>
          <w:numId w:val="1001"/>
        </w:numPr>
        <w:pStyle w:val="Compact"/>
      </w:pPr>
      <w:r>
        <w:t xml:space="preserve">dire ce que la</w:t>
      </w:r>
      <w:r>
        <w:t xml:space="preserve"> </w:t>
      </w:r>
      <w:r>
        <w:rPr>
          <w:bCs/>
          <w:b/>
        </w:rPr>
        <w:t xml:space="preserve">loi</w:t>
      </w:r>
      <w:r>
        <w:t xml:space="preserve"> </w:t>
      </w:r>
      <w:r>
        <w:t xml:space="preserve">prévoit (la discrimination est un délit) et qui je peux</w:t>
      </w:r>
      <w:r>
        <w:t xml:space="preserve"> </w:t>
      </w:r>
      <w:r>
        <w:rPr>
          <w:bCs/>
          <w:b/>
        </w:rPr>
        <w:t xml:space="preserve">saisir</w:t>
      </w:r>
      <w:r>
        <w:t xml:space="preserve"> </w:t>
      </w:r>
      <w:r>
        <w:t xml:space="preserve">(le Défenseur des droits) ;</w:t>
      </w:r>
    </w:p>
    <w:p>
      <w:pPr>
        <w:numPr>
          <w:ilvl w:val="0"/>
          <w:numId w:val="1001"/>
        </w:numPr>
        <w:pStyle w:val="Compact"/>
      </w:pPr>
      <w:r>
        <w:t xml:space="preserve">expliquer pourquoi l’</w:t>
      </w:r>
      <w:r>
        <w:rPr>
          <w:bCs/>
          <w:b/>
        </w:rPr>
        <w:t xml:space="preserve">égalité femmes-hommes</w:t>
      </w:r>
      <w:r>
        <w:t xml:space="preserve"> </w:t>
      </w:r>
      <w:r>
        <w:t xml:space="preserve">est un principe de la République, le résultat de combats, et qu’il reste des inégalités 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argumenter par écrit</w:t>
      </w:r>
      <w:r>
        <w:t xml:space="preserve"> </w:t>
      </w:r>
      <w:r>
        <w:t xml:space="preserve">une position de façon claire (c’est la compétence la plus importante du chapitre) ;</w:t>
      </w:r>
    </w:p>
    <w:p>
      <w:pPr>
        <w:numPr>
          <w:ilvl w:val="0"/>
          <w:numId w:val="1001"/>
        </w:numPr>
        <w:pStyle w:val="Compact"/>
      </w:pPr>
      <w:r>
        <w:t xml:space="preserve">proposer une</w:t>
      </w:r>
      <w:r>
        <w:t xml:space="preserve"> </w:t>
      </w:r>
      <w:r>
        <w:rPr>
          <w:bCs/>
          <w:b/>
        </w:rPr>
        <w:t xml:space="preserve">action</w:t>
      </w:r>
      <w:r>
        <w:t xml:space="preserve"> </w:t>
      </w:r>
      <w:r>
        <w:t xml:space="preserve">à ma portée pour faire reculer une discrimination.</w:t>
      </w:r>
    </w:p>
    <w:p>
      <w:r>
        <w:pict>
          <v:rect style="width:0;height:1.5pt" o:hralign="center" o:hrstd="t" o:hr="t"/>
        </w:pict>
      </w:r>
    </w:p>
    <w:bookmarkEnd w:id="20"/>
    <w:bookmarkStart w:id="21" w:name="X6d44ab7bfb0c1180263388c4da1d00807b5682c"/>
    <w:p>
      <w:pPr>
        <w:pStyle w:val="Heading2"/>
      </w:pPr>
      <w:r>
        <w:t xml:space="preserve">2. Ma charte de discussion (à co-construire et signer AVANT de commencer)</w:t>
      </w:r>
    </w:p>
    <w:p>
      <w:pPr>
        <w:pStyle w:val="FirstParagraph"/>
      </w:pPr>
      <w:r>
        <w:t xml:space="preserve">Avant tout partage d’émotion ou d’avis personnel, ma classe construit et adopte cette charte. Tant qu’elle n’est pas adoptée, on ne partage pas de ressenti personnel.</w:t>
      </w:r>
    </w:p>
    <w:p>
      <w:pPr>
        <w:numPr>
          <w:ilvl w:val="0"/>
          <w:numId w:val="1002"/>
        </w:numPr>
        <w:pStyle w:val="Compact"/>
      </w:pPr>
      <w:r>
        <w:t xml:space="preserve">Je critique les</w:t>
      </w:r>
      <w:r>
        <w:t xml:space="preserve"> </w:t>
      </w:r>
      <w:r>
        <w:rPr>
          <w:bCs/>
          <w:b/>
        </w:rPr>
        <w:t xml:space="preserve">idées</w:t>
      </w:r>
      <w:r>
        <w:t xml:space="preserve">, jamais les</w:t>
      </w:r>
      <w:r>
        <w:t xml:space="preserve"> </w:t>
      </w:r>
      <w:r>
        <w:rPr>
          <w:bCs/>
          <w:b/>
        </w:rPr>
        <w:t xml:space="preserve">personnes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Je ne me moque de personne et je ne désigne personne du doigt.</w:t>
      </w:r>
    </w:p>
    <w:p>
      <w:pPr>
        <w:numPr>
          <w:ilvl w:val="0"/>
          <w:numId w:val="1002"/>
        </w:numPr>
        <w:pStyle w:val="Compact"/>
      </w:pPr>
      <w:r>
        <w:t xml:space="preserve">Ce qui se dit de personnel dans la classe</w:t>
      </w:r>
      <w:r>
        <w:t xml:space="preserve"> </w:t>
      </w:r>
      <w:r>
        <w:rPr>
          <w:bCs/>
          <w:b/>
        </w:rPr>
        <w:t xml:space="preserve">reste dans la classe</w:t>
      </w:r>
      <w:r>
        <w:t xml:space="preserve"> </w:t>
      </w:r>
      <w:r>
        <w:t xml:space="preserve">(confidentialité).</w:t>
      </w:r>
    </w:p>
    <w:p>
      <w:pPr>
        <w:numPr>
          <w:ilvl w:val="0"/>
          <w:numId w:val="1002"/>
        </w:numPr>
        <w:pStyle w:val="Compact"/>
      </w:pPr>
      <w:r>
        <w:t xml:space="preserve">Personne ne « parle au nom » d’un groupe (je ne suis pas le porte-parole d’un groupe).</w:t>
      </w:r>
    </w:p>
    <w:p>
      <w:pPr>
        <w:numPr>
          <w:ilvl w:val="0"/>
          <w:numId w:val="1002"/>
        </w:numPr>
        <w:pStyle w:val="Compact"/>
      </w:pPr>
      <w:r>
        <w:t xml:space="preserve">Je lève la main, j’écoute jusqu’au bout, je peux</w:t>
      </w:r>
      <w:r>
        <w:t xml:space="preserve"> </w:t>
      </w:r>
      <w:r>
        <w:rPr>
          <w:bCs/>
          <w:b/>
        </w:rPr>
        <w:t xml:space="preserve">reformuler</w:t>
      </w:r>
      <w:r>
        <w:t xml:space="preserve"> </w:t>
      </w:r>
      <w:r>
        <w:t xml:space="preserve">ce que l’autre a dit avant de répondre.</w:t>
      </w:r>
    </w:p>
    <w:p>
      <w:pPr>
        <w:numPr>
          <w:ilvl w:val="0"/>
          <w:numId w:val="1002"/>
        </w:numPr>
        <w:pStyle w:val="Compact"/>
      </w:pPr>
      <w:r>
        <w:t xml:space="preserve">Certaines choses</w:t>
      </w:r>
      <w:r>
        <w:t xml:space="preserve"> </w:t>
      </w:r>
      <w:r>
        <w:rPr>
          <w:bCs/>
          <w:b/>
        </w:rPr>
        <w:t xml:space="preserve">ne se débattent pas</w:t>
      </w:r>
      <w:r>
        <w:t xml:space="preserve"> </w:t>
      </w:r>
      <w:r>
        <w:t xml:space="preserve">: l’égalité en droits, l’égalité femmes-hommes, le refus des discriminations, la dignité des personnes. On peut débattre des</w:t>
      </w:r>
      <w:r>
        <w:t xml:space="preserve"> </w:t>
      </w:r>
      <w:r>
        <w:rPr>
          <w:bCs/>
          <w:b/>
        </w:rPr>
        <w:t xml:space="preserve">moyens</w:t>
      </w:r>
      <w:r>
        <w:t xml:space="preserve">, pas de ces principes.</w:t>
      </w:r>
    </w:p>
    <w:p>
      <w:pPr>
        <w:numPr>
          <w:ilvl w:val="0"/>
          <w:numId w:val="1002"/>
        </w:numPr>
        <w:pStyle w:val="Compact"/>
      </w:pPr>
      <w:r>
        <w:t xml:space="preserve">J’ai le droit de</w:t>
      </w:r>
      <w:r>
        <w:t xml:space="preserve"> </w:t>
      </w:r>
      <w:r>
        <w:rPr>
          <w:bCs/>
          <w:b/>
        </w:rPr>
        <w:t xml:space="preserve">changer d’avis</w:t>
      </w:r>
      <w:r>
        <w:t xml:space="preserve"> </w:t>
      </w:r>
      <w:r>
        <w:t xml:space="preserve">: c’est même un signe que j’ai réfléchi.</w:t>
      </w:r>
    </w:p>
    <w:p>
      <w:pPr>
        <w:pStyle w:val="FirstParagraph"/>
      </w:pPr>
      <w:r>
        <w:t xml:space="preserve">Signature de la classe : ______________________</w:t>
      </w:r>
    </w:p>
    <w:p>
      <w:r>
        <w:pict>
          <v:rect style="width:0;height:1.5pt" o:hralign="center" o:hrstd="t" o:hr="t"/>
        </w:pict>
      </w:r>
    </w:p>
    <w:bookmarkEnd w:id="21"/>
    <w:bookmarkStart w:id="22" w:name="X118af8bcb5087199173920221a94f5c806d35bb"/>
    <w:p>
      <w:pPr>
        <w:pStyle w:val="Heading2"/>
      </w:pPr>
      <w:r>
        <w:t xml:space="preserve">3. Comment je m’auto-évalue : les pastilles (tâches FERMÉES seulement)</w:t>
      </w:r>
    </w:p>
    <w:p>
      <w:pPr>
        <w:pStyle w:val="FirstParagraph"/>
      </w:pPr>
      <w:r>
        <w:t xml:space="preserve">Les pastilles servent UNIQUEMENT pour les quelques tâches fermées (où il y a une bonne réponse vérifiable avec le corrigé).</w:t>
      </w:r>
    </w:p>
    <w:p>
      <w:pPr>
        <w:numPr>
          <w:ilvl w:val="0"/>
          <w:numId w:val="1003"/>
        </w:numPr>
        <w:pStyle w:val="Compact"/>
      </w:pPr>
      <w:r>
        <w:t xml:space="preserve">Pastille</w:t>
      </w:r>
      <w:r>
        <w:t xml:space="preserve"> </w:t>
      </w:r>
      <w:r>
        <w:rPr>
          <w:bCs/>
          <w:b/>
        </w:rPr>
        <w:t xml:space="preserve">verte</w:t>
      </w:r>
      <w:r>
        <w:t xml:space="preserve"> </w:t>
      </w:r>
      <w:r>
        <w:t xml:space="preserve">: j’ai réussi seul, je sais refaire.</w:t>
      </w:r>
    </w:p>
    <w:p>
      <w:pPr>
        <w:numPr>
          <w:ilvl w:val="0"/>
          <w:numId w:val="1003"/>
        </w:numPr>
        <w:pStyle w:val="Compact"/>
      </w:pPr>
      <w:r>
        <w:t xml:space="preserve">Pastille</w:t>
      </w:r>
      <w:r>
        <w:t xml:space="preserve"> </w:t>
      </w:r>
      <w:r>
        <w:rPr>
          <w:bCs/>
          <w:b/>
        </w:rPr>
        <w:t xml:space="preserve">orange</w:t>
      </w:r>
      <w:r>
        <w:t xml:space="preserve"> </w:t>
      </w:r>
      <w:r>
        <w:t xml:space="preserve">: j’ai réussi avec de l’aide, je dois revoir.</w:t>
      </w:r>
    </w:p>
    <w:p>
      <w:pPr>
        <w:numPr>
          <w:ilvl w:val="0"/>
          <w:numId w:val="1003"/>
        </w:numPr>
        <w:pStyle w:val="Compact"/>
      </w:pPr>
      <w:r>
        <w:t xml:space="preserve">Pastille</w:t>
      </w:r>
      <w:r>
        <w:t xml:space="preserve"> </w:t>
      </w:r>
      <w:r>
        <w:rPr>
          <w:bCs/>
          <w:b/>
        </w:rPr>
        <w:t xml:space="preserve">rouge</w:t>
      </w:r>
      <w:r>
        <w:t xml:space="preserve"> </w:t>
      </w:r>
      <w:r>
        <w:t xml:space="preserve">: je n’ai pas réussi, je demande de l’aide.</w:t>
      </w:r>
    </w:p>
    <w:p>
      <w:pPr>
        <w:pStyle w:val="FirstParagraph"/>
      </w:pPr>
      <w:r>
        <w:rPr>
          <w:bCs/>
          <w:b/>
        </w:rPr>
        <w:t xml:space="preserve">Attention</w:t>
      </w:r>
      <w:r>
        <w:t xml:space="preserve"> </w:t>
      </w:r>
      <w:r>
        <w:t xml:space="preserve">: pour les ÉCRITS (mon argumentation, ma trace de débat, mon affiche), il n’y a PAS de pastille auto-attribuée. Ces écrits sont relus par le professeur ou par un camarade avec une grille. Écrire « quelque chose » ne suffit pas pour se mettre au vert.</w:t>
      </w:r>
    </w:p>
    <w:p>
      <w:r>
        <w:pict>
          <v:rect style="width:0;height:1.5pt" o:hralign="center" o:hrstd="t" o:hr="t"/>
        </w:pict>
      </w:r>
    </w:p>
    <w:bookmarkEnd w:id="22"/>
    <w:bookmarkStart w:id="23" w:name="la-règle-daide-entraide"/>
    <w:p>
      <w:pPr>
        <w:pStyle w:val="Heading2"/>
      </w:pPr>
      <w:r>
        <w:t xml:space="preserve">4. La règle d’aide (entraide)</w:t>
      </w:r>
    </w:p>
    <w:p>
      <w:pPr>
        <w:pStyle w:val="FirstParagraph"/>
      </w:pPr>
      <w:r>
        <w:t xml:space="preserve">Quand je suis bloqué, dans l’ordre 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Je réfléchis</w:t>
      </w:r>
      <w:r>
        <w:t xml:space="preserve"> </w:t>
      </w:r>
      <w:r>
        <w:t xml:space="preserve">seul et je relis la consigne et les critères de réussite.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Je demande à un pair</w:t>
      </w:r>
      <w:r>
        <w:t xml:space="preserve"> </w:t>
      </w:r>
      <w:r>
        <w:t xml:space="preserve">(un camarade qui a déjà réussi cette tâche).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Je demande au professeur</w:t>
      </w:r>
      <w:r>
        <w:t xml:space="preserve">.</w:t>
      </w:r>
    </w:p>
    <w:p>
      <w:pPr>
        <w:pStyle w:val="FirstParagraph"/>
      </w:pPr>
      <w:r>
        <w:t xml:space="preserve">Je peux devenir</w:t>
      </w:r>
      <w:r>
        <w:t xml:space="preserve"> </w:t>
      </w:r>
      <w:r>
        <w:rPr>
          <w:bCs/>
          <w:b/>
        </w:rPr>
        <w:t xml:space="preserve">tuteur</w:t>
      </w:r>
      <w:r>
        <w:t xml:space="preserve"> </w:t>
      </w:r>
      <w:r>
        <w:t xml:space="preserve">: si j’ai une pastille verte sur une tâche, je peux aider un camarade — en lui expliquant, PAS en faisant à sa place.</w:t>
      </w:r>
    </w:p>
    <w:p>
      <w:r>
        <w:pict>
          <v:rect style="width:0;height:1.5pt" o:hralign="center" o:hrstd="t" o:hr="t"/>
        </w:pict>
      </w:r>
    </w:p>
    <w:bookmarkEnd w:id="23"/>
    <w:bookmarkStart w:id="24" w:name="mon-parcours-à-cocher-au-fur-et-à-mesure"/>
    <w:p>
      <w:pPr>
        <w:pStyle w:val="Heading2"/>
      </w:pPr>
      <w:r>
        <w:t xml:space="preserve">5. Mon parcours (à cocher au fur et à mesure)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 dominant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SOCLE fait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 fait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je ressens, ce que je sais déjà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Émotions cadrées + repérage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Différence, inégalité, discrimination : et la loi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Étude de cas +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Femmes et hommes : égaux en droit, et en vrai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dédiée femmes-hommes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Traiter pareil ou adapter ? Débat réglé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Débat + découverte guidée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Quand l’exclusion a un nom (et un délit)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Notions nommées + harcèlement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J’agis : ma proposition pour la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(production civique)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Xf22999ff13bc9d0d52824f2a0f4bbffeb38860e"/>
    <w:p>
      <w:pPr>
        <w:pStyle w:val="Heading2"/>
      </w:pPr>
      <w:r>
        <w:t xml:space="preserve">6. Mon suivi de la compétence « argumenter par écrit » (boucle évaluative)</w:t>
      </w:r>
    </w:p>
    <w:p>
      <w:pPr>
        <w:pStyle w:val="FirstParagraph"/>
      </w:pPr>
      <w:r>
        <w:t xml:space="preserve">C’est la compétence la plus importante du chapitre. Je la travaille plusieurs fois et je suis mes progrès en couleur.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Étape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 couleur (vert/orange/rouge)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1er jet individuel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Reprise après remédiation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(Facultatif) écrit final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</w:t>
            </w:r>
          </w:p>
        </w:tc>
      </w:tr>
    </w:tbl>
    <w:p>
      <w:pPr>
        <w:pStyle w:val="BodyText"/>
      </w:pPr>
      <w:r>
        <w:t xml:space="preserve">Entre deux jets, je passe par une</w:t>
      </w:r>
      <w:r>
        <w:t xml:space="preserve"> </w:t>
      </w:r>
      <w:r>
        <w:rPr>
          <w:bCs/>
          <w:b/>
        </w:rPr>
        <w:t xml:space="preserve">remédiation entre pairs</w:t>
      </w:r>
      <w:r>
        <w:t xml:space="preserve"> </w:t>
      </w:r>
      <w:r>
        <w:t xml:space="preserve">(≈ 10 min) avec la grille fournie par le professeur : un camarade relit mon argumentation, je relis la sienne, on se dit ce qui est clair et ce qui manque.</w:t>
      </w:r>
    </w:p>
    <w:p>
      <w:r>
        <w:br w:type="page"/>
      </w:r>
    </w:p>
    <w:bookmarkEnd w:id="25"/>
    <w:bookmarkEnd w:id="26"/>
    <w:bookmarkStart w:id="67" w:name="les-missions"/>
    <w:p>
      <w:pPr>
        <w:pStyle w:val="Heading1"/>
      </w:pPr>
      <w:r>
        <w:t xml:space="preserve">Les missions</w:t>
      </w:r>
    </w:p>
    <w:p>
      <w:pPr>
        <w:pStyle w:val="FirstParagraph"/>
      </w:pPr>
      <w:r>
        <w:t xml:space="preserve">Rappel sur les supports : aucun document ni URL n’est inventé. Chaque support est un encadré [DOCUMENT À INSÉRER : …] (texte simple) suivi d’un lien de recherche</w:t>
      </w:r>
      <w:r>
        <w:t xml:space="preserve"> </w:t>
      </w:r>
      <w:hyperlink r:id="rId27">
        <w:r>
          <w:rPr>
            <w:rStyle w:val="Hyperlink"/>
          </w:rPr>
          <w:t xml:space="preserve">🔎 Rechercher…</w:t>
        </w:r>
      </w:hyperlink>
      <w:r>
        <w:t xml:space="preserve">. Les liens sont cliquables (Ctrl+clic dans Word). Les corrigés ne figurent que pour les tâches FERMÉES, sous « ## Corrigé ».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Start w:id="33" w:name="X4e6c6efae47e3885dd7ca3630cc2a3dba3987f5"/>
    <w:p>
      <w:pPr>
        <w:pStyle w:val="Heading2"/>
      </w:pPr>
      <w:r>
        <w:t xml:space="preserve">Mission 0 — Ce que je ressens, ce que je sais déjà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faire émerger des émotions et des représentations sur le thème, dans un cadre protégé, et poser le vocabulaire de départ.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Respecter autrui /</w:t>
      </w:r>
      <w:r>
        <w:t xml:space="preserve"> </w:t>
      </w:r>
      <w:r>
        <w:rPr>
          <w:bCs/>
          <w:b/>
        </w:rPr>
        <w:t xml:space="preserve">la sensibilité</w:t>
      </w:r>
      <w:r>
        <w:t xml:space="preserve">. Compétence dominante : exprimer une émotion, écouter.</w:t>
      </w:r>
    </w:p>
    <w:p>
      <w:pPr>
        <w:pStyle w:val="BlockText"/>
      </w:pPr>
      <w:r>
        <w:t xml:space="preserve">IMPORTANT — Ordre obligatoire : la</w:t>
      </w:r>
      <w:r>
        <w:t xml:space="preserve"> </w:t>
      </w:r>
      <w:r>
        <w:rPr>
          <w:bCs/>
          <w:b/>
        </w:rPr>
        <w:t xml:space="preserve">charte de discussion est co-construite et adoptée AVANT</w:t>
      </w:r>
      <w:r>
        <w:t xml:space="preserve"> </w:t>
      </w:r>
      <w:r>
        <w:t xml:space="preserve">ce premier partage d’émotions (voir le plan de travail élève, § 2). On ne lance aucun tour de parole « ce que je ressens » tant que la confidentialité et « on critique les idées, pas les personnes » ne sont pas posées.</w:t>
      </w:r>
    </w:p>
    <w:bookmarkStart w:id="28" w:name="X260d9694625d51951744c7d4bfb75094f2f6d3b"/>
    <w:p>
      <w:pPr>
        <w:pStyle w:val="Heading3"/>
      </w:pPr>
      <w:r>
        <w:t xml:space="preserve">Tâche 0.1 — SOCLE — Co-construire la charte (collectif, ≈ 10 min)</w:t>
      </w:r>
    </w:p>
    <w:p>
      <w:pPr>
        <w:pStyle w:val="FirstParagraph"/>
      </w:pPr>
      <w:r>
        <w:t xml:space="preserve">La classe écrit ensemble les règles de discussion, puis les adopte. (Conduite détaillée : guide-prof.md.)</w:t>
      </w:r>
    </w:p>
    <w:bookmarkEnd w:id="28"/>
    <w:bookmarkStart w:id="30" w:name="Xd3c9c0922021cb19a2284ba1aa28a8262ee8bc9"/>
    <w:p>
      <w:pPr>
        <w:pStyle w:val="Heading3"/>
      </w:pPr>
      <w:r>
        <w:t xml:space="preserve">Tâche 0.2 — SOCLE — Réagir à une image (individuel puis collectif court)</w:t>
      </w:r>
    </w:p>
    <w:p>
      <w:pPr>
        <w:numPr>
          <w:ilvl w:val="0"/>
          <w:numId w:val="1005"/>
        </w:numPr>
        <w:pStyle w:val="Compact"/>
      </w:pPr>
      <w:r>
        <w:t xml:space="preserve">[DOCUMENT À INSÉRER : une affiche FICTIVE ou une affiche de campagne publique (type campagne d’intérêt général) montrant une situation où une personne est traitée différemment des autres — sans viser un élève réel ni un groupe nommé.]</w:t>
      </w:r>
      <w:r>
        <w:t xml:space="preserve"> </w:t>
      </w:r>
      <w:hyperlink r:id="rId29">
        <w:r>
          <w:rPr>
            <w:rStyle w:val="Hyperlink"/>
          </w:rPr>
          <w:t xml:space="preserve">🔎 Rechercher une affiche de campagne</w:t>
        </w:r>
      </w:hyperlink>
    </w:p>
    <w:p>
      <w:pPr>
        <w:pStyle w:val="FirstParagraph"/>
      </w:pPr>
      <w:r>
        <w:t xml:space="preserve">Consigne : en une phrase écrite pour moi seul, « ce que je ressens en regardant cette image, c’est… ». Puis, pour ceux qui le souhaitent, un mot à voix haute. Personne n’est obligé de partager.</w:t>
      </w:r>
    </w:p>
    <w:bookmarkEnd w:id="30"/>
    <w:bookmarkStart w:id="31" w:name="X6a14884509ac4e837b071c987d6e09b84fe78dd"/>
    <w:p>
      <w:pPr>
        <w:pStyle w:val="Heading3"/>
      </w:pPr>
      <w:r>
        <w:t xml:space="preserve">Tâche 0.3 — SOCLE — Mes trois mots (trace de départ, individuelle)</w:t>
      </w:r>
    </w:p>
    <w:p>
      <w:pPr>
        <w:pStyle w:val="FirstParagraph"/>
      </w:pPr>
      <w:r>
        <w:t xml:space="preserve">J’écris 3 mots que m’évoque le mot « discrimination ». Je les garde : je les comparerai à la fin du chapitre.</w:t>
      </w:r>
    </w:p>
    <w:bookmarkEnd w:id="31"/>
    <w:bookmarkStart w:id="32" w:name="tâche-0.4-approfondissement"/>
    <w:p>
      <w:pPr>
        <w:pStyle w:val="Heading3"/>
      </w:pPr>
      <w:r>
        <w:t xml:space="preserve">Tâche 0.4 — ★ APPROFONDISSEMENT</w:t>
      </w:r>
    </w:p>
    <w:p>
      <w:pPr>
        <w:pStyle w:val="FirstParagraph"/>
      </w:pPr>
      <w:r>
        <w:t xml:space="preserve">Je cherche d’où vient le mot « discriminer » (sens premier : « distinguer, séparer ») et j’explique pourquoi le mot a pris un sens négatif.</w:t>
      </w:r>
    </w:p>
    <w:p>
      <w:pPr>
        <w:pStyle w:val="BodyText"/>
      </w:pPr>
      <w:r>
        <w:rPr>
          <w:iCs/>
          <w:i/>
        </w:rPr>
        <w:t xml:space="preserve">(Pas de corrigé : tâches ouvertes / expression personnelle.)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32"/>
    <w:bookmarkEnd w:id="33"/>
    <w:bookmarkStart w:id="39" w:name="X4dc5e88021757ad2601f7fbc178545e91278391"/>
    <w:p>
      <w:pPr>
        <w:pStyle w:val="Heading2"/>
      </w:pPr>
      <w:r>
        <w:t xml:space="preserve">Mission 1 — Différence, inégalité, discrimination : et la loi ?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distinguer trois notions souvent confondues, et poser la base légale de la discrimination.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Acquérir les valeurs de la République + Construire une culture civique /</w:t>
      </w:r>
      <w:r>
        <w:t xml:space="preserve"> </w:t>
      </w:r>
      <w:r>
        <w:rPr>
          <w:bCs/>
          <w:b/>
        </w:rPr>
        <w:t xml:space="preserve">le droit et la règle</w:t>
      </w:r>
      <w:r>
        <w:t xml:space="preserve">. Compétence dominante : distinguer / justifier en s’appuyant sur le droit.</w:t>
      </w:r>
    </w:p>
    <w:bookmarkStart w:id="34" w:name="Xb218fbf7a21e0f2fba46c7e18c76f347559a045"/>
    <w:p>
      <w:pPr>
        <w:pStyle w:val="Heading3"/>
      </w:pPr>
      <w:r>
        <w:t xml:space="preserve">Tâche 1.1 — SOCLE — Trier des situations (FERMÉE, auto-corrigeable avec pastille)</w:t>
      </w:r>
    </w:p>
    <w:p>
      <w:pPr>
        <w:numPr>
          <w:ilvl w:val="0"/>
          <w:numId w:val="1006"/>
        </w:numPr>
        <w:pStyle w:val="Compact"/>
      </w:pPr>
      <w:r>
        <w:t xml:space="preserve">[DOCUMENT À INSÉRER : un tableau de 6 situations FICTIVES et distanciées, courtes, à classer en trois colonnes « différence » / « inégalité » / « discrimination ». Exemples de gabarit, à finaliser : (1) « Léa est plus grande que Sami » ; (2) « dans un village, il n’y a pas de médecin, dans la ville voisine il y en a dix » ; (3) « un employeur refuse un poste à une candidate UNIQUEMENT parce qu’elle est enceinte » ; (4) « Karim aime le foot, Théo préfère le dessin » ; (5) « une salle de sport interdit l’entrée à une personne à cause de son origine » ; (6) « certains élèves ont un ordinateur à la maison, d’autres non ». Cas volontairement fictifs.]</w:t>
      </w:r>
    </w:p>
    <w:p>
      <w:pPr>
        <w:pStyle w:val="FirstParagraph"/>
      </w:pPr>
      <w:r>
        <w:t xml:space="preserve">Consigne : je classe chaque situation. Pour chaque cas, j’écris si c’est interdit par la loi ou non.</w:t>
      </w:r>
    </w:p>
    <w:p>
      <w:pPr>
        <w:pStyle w:val="BodyText"/>
      </w:pPr>
      <w:r>
        <w:t xml:space="preserve">Critère de réussite : une différence est un simple écart (ni bon ni mauvais) ; une inégalité est un écart d’accès ou de moyens ; une discrimination est un</w:t>
      </w:r>
      <w:r>
        <w:t xml:space="preserve"> </w:t>
      </w:r>
      <w:r>
        <w:rPr>
          <w:bCs/>
          <w:b/>
        </w:rPr>
        <w:t xml:space="preserve">traitement défavorable</w:t>
      </w:r>
      <w:r>
        <w:t xml:space="preserve"> </w:t>
      </w:r>
      <w:r>
        <w:t xml:space="preserve">fondé sur un</w:t>
      </w:r>
      <w:r>
        <w:t xml:space="preserve"> </w:t>
      </w:r>
      <w:r>
        <w:rPr>
          <w:bCs/>
          <w:b/>
        </w:rPr>
        <w:t xml:space="preserve">critère interdit par la loi</w:t>
      </w:r>
      <w:r>
        <w:t xml:space="preserve">.</w:t>
      </w:r>
    </w:p>
    <w:bookmarkEnd w:id="34"/>
    <w:bookmarkStart w:id="36" w:name="X20819a612541221071dd2a02edaefbc513114a4"/>
    <w:p>
      <w:pPr>
        <w:pStyle w:val="Heading3"/>
      </w:pPr>
      <w:r>
        <w:t xml:space="preserve">Tâche 1.2 — SOCLE — La fiche-droit (lecture médiée + complétion)</w:t>
      </w:r>
    </w:p>
    <w:p>
      <w:pPr>
        <w:numPr>
          <w:ilvl w:val="0"/>
          <w:numId w:val="1007"/>
        </w:numPr>
        <w:pStyle w:val="Compact"/>
      </w:pPr>
      <w:r>
        <w:t xml:space="preserve">[DOCUMENT À INSÉRER : un EXTRAIT court et reformulé de l’art. 225-1 du Code pénal (la liste des critères prohibés) + une phrase sur l’art. 225-2 (le traitement défavorable). NE PAS recopier l’article brut : donner un extrait + lexique. Apports juridiques exacts pour le professeur : voir guide-prof.md.]</w:t>
      </w:r>
      <w:r>
        <w:t xml:space="preserve"> </w:t>
      </w:r>
      <w:hyperlink r:id="rId35">
        <w:r>
          <w:rPr>
            <w:rStyle w:val="Hyperlink"/>
          </w:rPr>
          <w:t xml:space="preserve">🔎 Vérifier l’art. 225-1 sur Légifrance</w:t>
        </w:r>
      </w:hyperlink>
    </w:p>
    <w:p>
      <w:pPr>
        <w:pStyle w:val="FirstParagraph"/>
      </w:pPr>
      <w:r>
        <w:t xml:space="preserve">Trace (gabarit à compléter, FERMÉE en partie) :</w:t>
      </w:r>
    </w:p>
    <w:p>
      <w:pPr>
        <w:numPr>
          <w:ilvl w:val="0"/>
          <w:numId w:val="1008"/>
        </w:numPr>
        <w:pStyle w:val="Compact"/>
      </w:pPr>
      <w:r>
        <w:t xml:space="preserve">Une discrimination, c’est un</w:t>
      </w:r>
      <w:r>
        <w:t xml:space="preserve"> </w:t>
      </w:r>
      <w:r>
        <w:rPr>
          <w:bCs/>
          <w:b/>
        </w:rPr>
        <w:t xml:space="preserve">traitement défavorable</w:t>
      </w:r>
      <w:r>
        <w:t xml:space="preserve"> </w:t>
      </w:r>
      <w:r>
        <w:t xml:space="preserve">fondé sur un</w:t>
      </w:r>
      <w:r>
        <w:t xml:space="preserve"> </w:t>
      </w:r>
      <w:r>
        <w:rPr>
          <w:bCs/>
          <w:b/>
        </w:rPr>
        <w:t xml:space="preserve">critère interdit</w:t>
      </w:r>
      <w:r>
        <w:t xml:space="preserve"> </w:t>
      </w:r>
      <w:r>
        <w:t xml:space="preserve">par la loi.</w:t>
      </w:r>
    </w:p>
    <w:p>
      <w:pPr>
        <w:numPr>
          <w:ilvl w:val="0"/>
          <w:numId w:val="1008"/>
        </w:numPr>
        <w:pStyle w:val="Compact"/>
      </w:pPr>
      <w:r>
        <w:t xml:space="preserve">Trois critères interdits que je retiens : __________, __________, __________ (dont le</w:t>
      </w:r>
      <w:r>
        <w:t xml:space="preserve"> </w:t>
      </w:r>
      <w:r>
        <w:rPr>
          <w:bCs/>
          <w:b/>
        </w:rPr>
        <w:t xml:space="preserve">sexe</w:t>
      </w:r>
      <w:r>
        <w:t xml:space="preserve">).</w:t>
      </w:r>
    </w:p>
    <w:p>
      <w:pPr>
        <w:numPr>
          <w:ilvl w:val="0"/>
          <w:numId w:val="1008"/>
        </w:numPr>
        <w:pStyle w:val="Compact"/>
      </w:pPr>
      <w:r>
        <w:t xml:space="preserve">Une discrimination est un ________ (mot attendu : délit).</w:t>
      </w:r>
    </w:p>
    <w:p>
      <w:pPr>
        <w:numPr>
          <w:ilvl w:val="0"/>
          <w:numId w:val="1008"/>
        </w:numPr>
        <w:pStyle w:val="Compact"/>
      </w:pPr>
      <w:r>
        <w:t xml:space="preserve">Si je suis victime ou témoin, je peux saisir le ____________________ (le</w:t>
      </w:r>
      <w:r>
        <w:t xml:space="preserve"> </w:t>
      </w:r>
      <w:r>
        <w:rPr>
          <w:bCs/>
          <w:b/>
        </w:rPr>
        <w:t xml:space="preserve">Défenseur des droits</w:t>
      </w:r>
      <w:r>
        <w:t xml:space="preserve">).</w:t>
      </w:r>
    </w:p>
    <w:bookmarkEnd w:id="36"/>
    <w:bookmarkStart w:id="38" w:name="tâche-1.3-approfondissement"/>
    <w:p>
      <w:pPr>
        <w:pStyle w:val="Heading3"/>
      </w:pPr>
      <w:r>
        <w:t xml:space="preserve">Tâche 1.3 — ★ APPROFONDISSEMENT</w:t>
      </w:r>
    </w:p>
    <w:p>
      <w:pPr>
        <w:numPr>
          <w:ilvl w:val="0"/>
          <w:numId w:val="1009"/>
        </w:numPr>
        <w:pStyle w:val="Compact"/>
      </w:pPr>
      <w:r>
        <w:t xml:space="preserve">[DOCUMENT À INSÉRER : un cas réel (anonymisé) de saisine ou de décision du Défenseur des droits, OU une condamnation au titre de la loi du 27 mai 2008 (ex. dans le monde du travail).]</w:t>
      </w:r>
      <w:r>
        <w:t xml:space="preserve"> </w:t>
      </w:r>
      <w:hyperlink r:id="rId37">
        <w:r>
          <w:rPr>
            <w:rStyle w:val="Hyperlink"/>
          </w:rPr>
          <w:t xml:space="preserve">🔎 Rechercher une décision du Défenseur des droits</w:t>
        </w:r>
      </w:hyperlink>
    </w:p>
    <w:p>
      <w:pPr>
        <w:pStyle w:val="FirstParagraph"/>
      </w:pPr>
      <w:r>
        <w:t xml:space="preserve">J’explique en 3 lignes : qui a été traité défavorablement, sur quel critère, ce que le droit a dit.</w:t>
      </w:r>
    </w:p>
    <w:p>
      <w:r>
        <w:br w:type="page"/>
      </w:r>
    </w:p>
    <w:bookmarkEnd w:id="38"/>
    <w:bookmarkEnd w:id="39"/>
    <w:bookmarkStart w:id="48" w:name="X0b92fe2bfc7723d3a19925198d2adc7e9b7b387"/>
    <w:p>
      <w:pPr>
        <w:pStyle w:val="Heading2"/>
      </w:pPr>
      <w:r>
        <w:t xml:space="preserve">Mission 2 — Femmes et hommes : égaux en droit, et en vrai ? (séance dédiée)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comprendre que l’égalité femmes-hommes est un principe de la République, le résultat de combats (la loi se fait), et qu’il subsiste des inégalités (orientation, salaires) que le droit cherche à corriger.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Acquérir les valeurs de la République /</w:t>
      </w:r>
      <w:r>
        <w:t xml:space="preserve"> </w:t>
      </w:r>
      <w:r>
        <w:rPr>
          <w:bCs/>
          <w:b/>
        </w:rPr>
        <w:t xml:space="preserve">le droit et la règle</w:t>
      </w:r>
      <w:r>
        <w:t xml:space="preserve"> </w:t>
      </w:r>
      <w:r>
        <w:t xml:space="preserve">+ amorce du</w:t>
      </w:r>
      <w:r>
        <w:t xml:space="preserve"> </w:t>
      </w:r>
      <w:r>
        <w:rPr>
          <w:bCs/>
          <w:b/>
        </w:rPr>
        <w:t xml:space="preserve">jugement</w:t>
      </w:r>
      <w:r>
        <w:t xml:space="preserve">. Compétence dominante : ici commence l’entraînement à</w:t>
      </w:r>
      <w:r>
        <w:t xml:space="preserve"> </w:t>
      </w:r>
      <w:r>
        <w:rPr>
          <w:bCs/>
          <w:b/>
        </w:rPr>
        <w:t xml:space="preserve">argumenter par écrit</w:t>
      </w:r>
      <w:r>
        <w:t xml:space="preserve"> </w:t>
      </w:r>
      <w:r>
        <w:t xml:space="preserve">(1er jet de la boucle).</w:t>
      </w:r>
    </w:p>
    <w:p>
      <w:pPr>
        <w:pStyle w:val="BlockText"/>
      </w:pPr>
      <w:r>
        <w:t xml:space="preserve">Articulation explicite : le</w:t>
      </w:r>
      <w:r>
        <w:t xml:space="preserve"> </w:t>
      </w:r>
      <w:r>
        <w:rPr>
          <w:bCs/>
          <w:b/>
        </w:rPr>
        <w:t xml:space="preserve">sexe</w:t>
      </w:r>
      <w:r>
        <w:t xml:space="preserve"> </w:t>
      </w:r>
      <w:r>
        <w:t xml:space="preserve">est l’un des critères prohibés de l’art. 225-1 (vu en Mission 1). L’égalité femmes-hommes n’est donc PAS un sujet à part : c’est un cas du cadre général « différence / inégalité / discrimination ».</w:t>
      </w:r>
    </w:p>
    <w:bookmarkStart w:id="41" w:name="X5af28ed9f59d1d0c4c515620297a3887414362d"/>
    <w:p>
      <w:pPr>
        <w:pStyle w:val="Heading3"/>
      </w:pPr>
      <w:r>
        <w:t xml:space="preserve">Tâche 2.1 — SOCLE — La loi se fait (frise, FERMÉE)</w:t>
      </w:r>
    </w:p>
    <w:p>
      <w:pPr>
        <w:numPr>
          <w:ilvl w:val="0"/>
          <w:numId w:val="1010"/>
        </w:numPr>
        <w:pStyle w:val="Compact"/>
      </w:pPr>
      <w:r>
        <w:t xml:space="preserve">[DOCUMENT À INSÉRER : une courte liste datée de textes, à placer sur une frise GABARIT (repères vides) : droit de vote des femmes (1944) ; loi sur la parité (2000). Au socle on garde ces 2 jalons. Les autres (1965, 1975, 1987) sont en ★.]</w:t>
      </w:r>
      <w:r>
        <w:t xml:space="preserve"> </w:t>
      </w:r>
      <w:hyperlink r:id="rId40">
        <w:r>
          <w:rPr>
            <w:rStyle w:val="Hyperlink"/>
          </w:rPr>
          <w:t xml:space="preserve">🔎 Rechercher droit de vote des femmes 1944</w:t>
        </w:r>
      </w:hyperlink>
    </w:p>
    <w:p>
      <w:pPr>
        <w:pStyle w:val="FirstParagraph"/>
      </w:pPr>
      <w:r>
        <w:t xml:space="preserve">Trace : la frise complétée EST la trace (pas de paragraphe à recopier). Conclusion en une phrase à écrire sous la frise : « L’égalité des droits entre femmes et hommes n’a pas toujours existé : elle est le résultat de ____ (mot attendu : combats), et la loi continue d’évoluer. »</w:t>
      </w:r>
    </w:p>
    <w:bookmarkEnd w:id="41"/>
    <w:bookmarkStart w:id="44" w:name="Xa66eb9ccdef2250b70e29c335d79b444d60b0a7"/>
    <w:p>
      <w:pPr>
        <w:pStyle w:val="Heading3"/>
      </w:pPr>
      <w:r>
        <w:t xml:space="preserve">Tâche 2.2 — SOCLE — Les inégalités qui demeurent (lecture de données réelles)</w:t>
      </w:r>
    </w:p>
    <w:p>
      <w:pPr>
        <w:numPr>
          <w:ilvl w:val="0"/>
          <w:numId w:val="1011"/>
        </w:numPr>
        <w:pStyle w:val="Compact"/>
      </w:pPr>
      <w:r>
        <w:t xml:space="preserve">[DOCUMENT À INSÉRER : données INSEE / Défenseur des droits sur l’écart de salaire moyen entre femmes et hommes (en %). NE PAS inventer le chiffre : insérer la donnée exacte et à jour.]</w:t>
      </w:r>
      <w:r>
        <w:t xml:space="preserve"> </w:t>
      </w:r>
      <w:hyperlink r:id="rId42">
        <w:r>
          <w:rPr>
            <w:rStyle w:val="Hyperlink"/>
          </w:rPr>
          <w:t xml:space="preserve">🔎 INSEE écart de salaire femmes-hommes</w:t>
        </w:r>
      </w:hyperlink>
    </w:p>
    <w:p>
      <w:pPr>
        <w:numPr>
          <w:ilvl w:val="0"/>
          <w:numId w:val="1011"/>
        </w:numPr>
        <w:pStyle w:val="Compact"/>
      </w:pPr>
      <w:r>
        <w:t xml:space="preserve">[DOCUMENT À INSÉRER : données INSEE / ministère sur la répartition femmes-hommes par branche de métiers OU sur l’orientation (filles/garçons vers certaines filières). Chiffre exact à insérer par le professeur.]</w:t>
      </w:r>
      <w:r>
        <w:t xml:space="preserve"> </w:t>
      </w:r>
      <w:hyperlink r:id="rId43">
        <w:r>
          <w:rPr>
            <w:rStyle w:val="Hyperlink"/>
          </w:rPr>
          <w:t xml:space="preserve">🔎 INSEE répartition femmes hommes métiers / orientation</w:t>
        </w:r>
      </w:hyperlink>
    </w:p>
    <w:p>
      <w:pPr>
        <w:pStyle w:val="FirstParagraph"/>
      </w:pPr>
      <w:r>
        <w:t xml:space="preserve">Consigne (FERMÉE, lecture de données) : je relève le chiffre de l’écart de salaire et je dis qui est désavantagé.</w:t>
      </w:r>
    </w:p>
    <w:p>
      <w:pPr>
        <w:pStyle w:val="BodyText"/>
      </w:pPr>
      <w:r>
        <w:t xml:space="preserve">Apport notionnel au socle : le</w:t>
      </w:r>
      <w:r>
        <w:t xml:space="preserve"> </w:t>
      </w:r>
      <w:r>
        <w:rPr>
          <w:bCs/>
          <w:b/>
        </w:rPr>
        <w:t xml:space="preserve">stéréotype de genre</w:t>
      </w:r>
      <w:r>
        <w:t xml:space="preserve"> </w:t>
      </w:r>
      <w:r>
        <w:t xml:space="preserve">(« ce métier, c’est pour les garçons / pour les filles ») oriente les choix et entretient ces écarts. L’</w:t>
      </w:r>
      <w:r>
        <w:rPr>
          <w:bCs/>
          <w:b/>
        </w:rPr>
        <w:t xml:space="preserve">article 6 de la DDHC</w:t>
      </w:r>
      <w:r>
        <w:t xml:space="preserve"> </w:t>
      </w:r>
      <w:r>
        <w:t xml:space="preserve">(égal accès aux emplois) et la</w:t>
      </w:r>
      <w:r>
        <w:t xml:space="preserve"> </w:t>
      </w:r>
      <w:r>
        <w:rPr>
          <w:bCs/>
          <w:b/>
        </w:rPr>
        <w:t xml:space="preserve">loi sur la parité (2000)</w:t>
      </w:r>
      <w:r>
        <w:t xml:space="preserve"> </w:t>
      </w:r>
      <w:r>
        <w:t xml:space="preserve">montrent l’action du droit.</w:t>
      </w:r>
    </w:p>
    <w:bookmarkEnd w:id="44"/>
    <w:bookmarkStart w:id="45" w:name="X2200201a7bb3ce6d90c45056a206d1616552906"/>
    <w:p>
      <w:pPr>
        <w:pStyle w:val="Heading3"/>
      </w:pPr>
      <w:r>
        <w:t xml:space="preserve">Tâche 2.3 — SOCLE — 1er jet d’argumentation (individuel, ÉCRIT — début de la boucle)</w:t>
      </w:r>
    </w:p>
    <w:p>
      <w:pPr>
        <w:pStyle w:val="FirstParagraph"/>
      </w:pPr>
      <w:r>
        <w:t xml:space="preserve">Question (vraie question de moyens, pas un principe à débattre) : « Quelle action concrète pourrait aider à réduire les stéréotypes de genre dans l’orientation des élèves ? »</w:t>
      </w:r>
    </w:p>
    <w:p>
      <w:pPr>
        <w:pStyle w:val="BodyText"/>
      </w:pPr>
      <w:r>
        <w:t xml:space="preserve">Consigne : en 4-5 lignes, J’ÉCRIS ma proposition et</w:t>
      </w:r>
      <w:r>
        <w:t xml:space="preserve"> </w:t>
      </w:r>
      <w:r>
        <w:rPr>
          <w:bCs/>
          <w:b/>
        </w:rPr>
        <w:t xml:space="preserve">un argument</w:t>
      </w:r>
      <w:r>
        <w:t xml:space="preserve"> </w:t>
      </w:r>
      <w:r>
        <w:t xml:space="preserve">qui l’appuie (« je propose… parce que… »), en m’appuyant sur au moins une donnée vue en 2.2.</w:t>
      </w:r>
    </w:p>
    <w:p>
      <w:pPr>
        <w:pStyle w:val="BodyText"/>
      </w:pPr>
      <w:r>
        <w:t xml:space="preserve">→ Ce texte est mon</w:t>
      </w:r>
      <w:r>
        <w:t xml:space="preserve"> </w:t>
      </w:r>
      <w:r>
        <w:rPr>
          <w:bCs/>
          <w:b/>
        </w:rPr>
        <w:t xml:space="preserve">1er jet</w:t>
      </w:r>
      <w:r>
        <w:t xml:space="preserve"> </w:t>
      </w:r>
      <w:r>
        <w:t xml:space="preserve">de la compétence « argumenter par écrit ». Le professeur le code en couleur (vert/orange/rouge). Pas de pastille auto-attribuée ici.</w:t>
      </w:r>
    </w:p>
    <w:bookmarkEnd w:id="45"/>
    <w:bookmarkStart w:id="47" w:name="tâche-2.4-approfondissement"/>
    <w:p>
      <w:pPr>
        <w:pStyle w:val="Heading3"/>
      </w:pPr>
      <w:r>
        <w:t xml:space="preserve">Tâche 2.4 — ★ APPROFONDISSEMENT</w:t>
      </w:r>
    </w:p>
    <w:p>
      <w:pPr>
        <w:numPr>
          <w:ilvl w:val="0"/>
          <w:numId w:val="1012"/>
        </w:numPr>
        <w:pStyle w:val="Compact"/>
      </w:pPr>
      <w:r>
        <w:t xml:space="preserve">[DOCUMENT À INSÉRER : extraits datés d’autres lois (1965 exercer une profession sans autorisation du mari ; 1975 IVG ; 1987 autorité parentale conjointe).]</w:t>
      </w:r>
      <w:r>
        <w:t xml:space="preserve"> </w:t>
      </w:r>
      <w:hyperlink r:id="rId46">
        <w:r>
          <w:rPr>
            <w:rStyle w:val="Hyperlink"/>
          </w:rPr>
          <w:t xml:space="preserve">🔎 Rechercher loi parité 2000 / lois égalité femmes-hommes</w:t>
        </w:r>
      </w:hyperlink>
    </w:p>
    <w:p>
      <w:pPr>
        <w:pStyle w:val="FirstParagraph"/>
      </w:pPr>
      <w:r>
        <w:t xml:space="preserve">Je complète la frise avec ces jalons et j’explique ce que « la loi se fait » veut dire avec un exemple.</w:t>
      </w:r>
    </w:p>
    <w:p>
      <w:r>
        <w:br w:type="page"/>
      </w:r>
    </w:p>
    <w:bookmarkEnd w:id="47"/>
    <w:bookmarkEnd w:id="48"/>
    <w:bookmarkStart w:id="55" w:name="X6a0f8d419709a63a0b994ee7bc1984cf00f68b7"/>
    <w:p>
      <w:pPr>
        <w:pStyle w:val="Heading2"/>
      </w:pPr>
      <w:r>
        <w:t xml:space="preserve">Mission 3 — Traiter pareil ou adapter ? Débat réglé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argumenter une vraie question ouverte dans un cadre réglé, en conservant la pluralité des positions ; et, séparément, découvrir pourquoi « traiter à l’identique » peut produire de l’inégalité.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Construire une culture civique /</w:t>
      </w:r>
      <w:r>
        <w:t xml:space="preserve"> </w:t>
      </w:r>
      <w:r>
        <w:rPr>
          <w:bCs/>
          <w:b/>
        </w:rPr>
        <w:t xml:space="preserve">le jugement</w:t>
      </w:r>
      <w:r>
        <w:t xml:space="preserve"> </w:t>
      </w:r>
      <w:r>
        <w:t xml:space="preserve">(domaine DOMINANT). Compétence dominante :</w:t>
      </w:r>
      <w:r>
        <w:t xml:space="preserve"> </w:t>
      </w:r>
      <w:r>
        <w:rPr>
          <w:bCs/>
          <w:b/>
        </w:rPr>
        <w:t xml:space="preserve">argumenter</w:t>
      </w:r>
      <w:r>
        <w:t xml:space="preserve"> </w:t>
      </w:r>
      <w:r>
        <w:t xml:space="preserve">(à l’écrit individuel ET à l’oral collectif).</w:t>
      </w:r>
    </w:p>
    <w:p>
      <w:pPr>
        <w:pStyle w:val="BlockText"/>
      </w:pPr>
      <w:r>
        <w:t xml:space="preserve">Deux moments DISTINCTS et nommés différemment (voir presentation.md, § 6) :</w:t>
      </w:r>
      <w:r>
        <w:t xml:space="preserve"> </w:t>
      </w:r>
      <w:r>
        <w:t xml:space="preserve">- 3.A est un</w:t>
      </w:r>
      <w:r>
        <w:t xml:space="preserve"> </w:t>
      </w:r>
      <w:r>
        <w:rPr>
          <w:bCs/>
          <w:b/>
        </w:rPr>
        <w:t xml:space="preserve">débat réglé</w:t>
      </w:r>
      <w:r>
        <w:t xml:space="preserve"> </w:t>
      </w:r>
      <w:r>
        <w:t xml:space="preserve">sur une vraie question ouverte (test de symétrie légale réussi).</w:t>
      </w:r>
      <w:r>
        <w:t xml:space="preserve"> </w:t>
      </w:r>
      <w:r>
        <w:t xml:space="preserve">- 3.B est une</w:t>
      </w:r>
      <w:r>
        <w:t xml:space="preserve"> </w:t>
      </w:r>
      <w:r>
        <w:rPr>
          <w:bCs/>
          <w:b/>
        </w:rPr>
        <w:t xml:space="preserve">découverte guidée</w:t>
      </w:r>
      <w:r>
        <w:t xml:space="preserve">, PAS un dilemme (une branche y est imposée par la loi).</w:t>
      </w:r>
    </w:p>
    <w:bookmarkStart w:id="49" w:name="X11fb00bf093b13237c3ed75ce80173da2eb4ac7"/>
    <w:p>
      <w:pPr>
        <w:pStyle w:val="Heading3"/>
      </w:pPr>
      <w:r>
        <w:t xml:space="preserve">Tâche 3.0 — SOCLE — Ma position avant le débat (trace individuelle écrite)</w:t>
      </w:r>
    </w:p>
    <w:p>
      <w:pPr>
        <w:pStyle w:val="FirstParagraph"/>
      </w:pPr>
      <w:r>
        <w:t xml:space="preserve">Avant l’oral, j’écris pour moi : « Au départ, je pense que… parce que… ». (C’est ma trace individuelle d’entrée — elle garantit que j’argumente par écrit, pas seulement à l’oral.)</w:t>
      </w:r>
    </w:p>
    <w:bookmarkEnd w:id="49"/>
    <w:bookmarkStart w:id="51" w:name="tâche-3.a-socle-débat-réglé-collectif"/>
    <w:p>
      <w:pPr>
        <w:pStyle w:val="Heading3"/>
      </w:pPr>
      <w:r>
        <w:t xml:space="preserve">Tâche 3.A — SOCLE — Débat réglé (collectif)</w:t>
      </w:r>
    </w:p>
    <w:p>
      <w:pPr>
        <w:pStyle w:val="FirstParagraph"/>
      </w:pPr>
      <w:r>
        <w:rPr>
          <w:bCs/>
          <w:b/>
        </w:rPr>
        <w:t xml:space="preserve">Question (vraie question ouverte, symétrique) :</w:t>
      </w:r>
      <w:r>
        <w:t xml:space="preserve"> </w:t>
      </w:r>
      <w:r>
        <w:t xml:space="preserve">« Pour partager une ressource FIXE et limitée dans la classe — par exemple un petit budget de coopérative, ou le temps d’usage d’un seul matériel — vaut-il mieux donner la</w:t>
      </w:r>
      <w:r>
        <w:t xml:space="preserve"> </w:t>
      </w:r>
      <w:r>
        <w:rPr>
          <w:bCs/>
          <w:b/>
        </w:rPr>
        <w:t xml:space="preserve">même part à chacun</w:t>
      </w:r>
      <w:r>
        <w:t xml:space="preserve">, ou donner</w:t>
      </w:r>
      <w:r>
        <w:t xml:space="preserve"> </w:t>
      </w:r>
      <w:r>
        <w:rPr>
          <w:bCs/>
          <w:b/>
        </w:rPr>
        <w:t xml:space="preserve">davantage à celles et ceux qui en ont le moins</w:t>
      </w:r>
      <w:r>
        <w:t xml:space="preserve"> </w:t>
      </w:r>
      <w:r>
        <w:t xml:space="preserve">? »</w:t>
      </w:r>
    </w:p>
    <w:p>
      <w:pPr>
        <w:pStyle w:val="BodyText"/>
      </w:pPr>
      <w:r>
        <w:t xml:space="preserve">Pourquoi c’est un vrai débat : la loi n’oblige ni n’interdit aucune des deux réponses. C’est un choix entre</w:t>
      </w:r>
      <w:r>
        <w:t xml:space="preserve"> </w:t>
      </w:r>
      <w:r>
        <w:rPr>
          <w:bCs/>
          <w:b/>
        </w:rPr>
        <w:t xml:space="preserve">égalité formelle</w:t>
      </w:r>
      <w:r>
        <w:t xml:space="preserve"> </w:t>
      </w:r>
      <w:r>
        <w:t xml:space="preserve">(la même part) et</w:t>
      </w:r>
      <w:r>
        <w:t xml:space="preserve"> </w:t>
      </w:r>
      <w:r>
        <w:rPr>
          <w:bCs/>
          <w:b/>
        </w:rPr>
        <w:t xml:space="preserve">équité</w:t>
      </w:r>
      <w:r>
        <w:t xml:space="preserve"> </w:t>
      </w:r>
      <w:r>
        <w:t xml:space="preserve">(plus à qui a moins). Les deux positions sont défendables.</w:t>
      </w:r>
    </w:p>
    <w:p>
      <w:pPr>
        <w:numPr>
          <w:ilvl w:val="0"/>
          <w:numId w:val="1013"/>
        </w:numPr>
        <w:pStyle w:val="Compact"/>
      </w:pPr>
      <w:r>
        <w:t xml:space="preserve">Support de départ : [DOCUMENT À INSÉRER : une mise en situation FICTIVE chiffrée — ex. « la coopérative dispose de 60 € ; le groupe A n’a aucun matériel, le groupe B en a déjà » — à finaliser par le professeur.]</w:t>
      </w:r>
      <w:r>
        <w:t xml:space="preserve"> </w:t>
      </w:r>
      <w:hyperlink r:id="rId50">
        <w:r>
          <w:rPr>
            <w:rStyle w:val="Hyperlink"/>
          </w:rPr>
          <w:t xml:space="preserve">🔎 Rechercher égalité équité illustration</w:t>
        </w:r>
      </w:hyperlink>
    </w:p>
    <w:p>
      <w:pPr>
        <w:pStyle w:val="FirstParagraph"/>
      </w:pPr>
      <w:r>
        <w:rPr>
          <w:bCs/>
          <w:b/>
        </w:rPr>
        <w:t xml:space="preserve">Rôles</w:t>
      </w:r>
      <w:r>
        <w:t xml:space="preserve"> </w:t>
      </w:r>
      <w:r>
        <w:t xml:space="preserve">(à distribuer ; faire tourner d’un débat à l’autre) 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Président de séance</w:t>
      </w:r>
      <w:r>
        <w:t xml:space="preserve"> </w:t>
      </w:r>
      <w:r>
        <w:t xml:space="preserve">: distribue la parole, fait respecter la charte.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Reformulateur</w:t>
      </w:r>
      <w:r>
        <w:t xml:space="preserve"> </w:t>
      </w:r>
      <w:r>
        <w:t xml:space="preserve">: redit l’argument précédent avant qu’on réponde.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Synthétiseur</w:t>
      </w:r>
      <w:r>
        <w:t xml:space="preserve"> </w:t>
      </w:r>
      <w:r>
        <w:t xml:space="preserve">: note les arguments des DEUX côtés.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Observateurs</w:t>
      </w:r>
      <w:r>
        <w:t xml:space="preserve"> </w:t>
      </w:r>
      <w:r>
        <w:t xml:space="preserve">(le sous-groupe échantillonné par le professeur) : remplissent la grille d’observation (voir evaluations.md).</w:t>
      </w:r>
    </w:p>
    <w:p>
      <w:pPr>
        <w:pStyle w:val="FirstParagraph"/>
      </w:pPr>
      <w:r>
        <w:rPr>
          <w:bCs/>
          <w:b/>
        </w:rPr>
        <w:t xml:space="preserve">Charte de parole</w:t>
      </w:r>
      <w:r>
        <w:t xml:space="preserve"> </w:t>
      </w:r>
      <w:r>
        <w:t xml:space="preserve">: celle de la Mission 0, rappelée. On débat des</w:t>
      </w:r>
      <w:r>
        <w:t xml:space="preserve"> </w:t>
      </w:r>
      <w:r>
        <w:rPr>
          <w:bCs/>
          <w:b/>
        </w:rPr>
        <w:t xml:space="preserve">moyens de répartir</w:t>
      </w:r>
      <w:r>
        <w:t xml:space="preserve">, jamais de l’égalité en droits (qui, elle, ne se débat pas).</w:t>
      </w:r>
    </w:p>
    <w:p>
      <w:pPr>
        <w:pStyle w:val="BodyText"/>
      </w:pPr>
      <w:r>
        <w:rPr>
          <w:bCs/>
          <w:b/>
        </w:rPr>
        <w:t xml:space="preserve">Trace PLURIELLE (collective)</w:t>
      </w:r>
      <w:r>
        <w:t xml:space="preserve"> </w:t>
      </w:r>
      <w:r>
        <w:t xml:space="preserve">: un tableau à deux colonnes affiché — « Arguments pour la même part » / « Arguments pour plus à qui a moins » — qui CONSERVE les deux positions.</w:t>
      </w:r>
      <w:r>
        <w:t xml:space="preserve"> </w:t>
      </w:r>
      <w:r>
        <w:rPr>
          <w:bCs/>
          <w:b/>
        </w:rPr>
        <w:t xml:space="preserve">Aucune conclusion unique n’est imposée.</w:t>
      </w:r>
    </w:p>
    <w:bookmarkEnd w:id="51"/>
    <w:bookmarkStart w:id="52" w:name="X4ceb81dca879cb841f7789008cce9bded854d00"/>
    <w:p>
      <w:pPr>
        <w:pStyle w:val="Heading3"/>
      </w:pPr>
      <w:r>
        <w:t xml:space="preserve">Tâche 3.0bis — SOCLE — Ma position après le débat (trace individuelle écrite — reprise de la boucle)</w:t>
      </w:r>
    </w:p>
    <w:p>
      <w:pPr>
        <w:pStyle w:val="FirstParagraph"/>
      </w:pPr>
      <w:r>
        <w:t xml:space="preserve">Après l’oral, j’écris : « L’argument adverse le plus fort que j’ai entendu est… ; au final je pense… parce que… ».</w:t>
      </w:r>
    </w:p>
    <w:p>
      <w:pPr>
        <w:pStyle w:val="BodyText"/>
      </w:pPr>
      <w:r>
        <w:t xml:space="preserve">→ C’est la</w:t>
      </w:r>
      <w:r>
        <w:t xml:space="preserve"> </w:t>
      </w:r>
      <w:r>
        <w:rPr>
          <w:bCs/>
          <w:b/>
        </w:rPr>
        <w:t xml:space="preserve">reprise</w:t>
      </w:r>
      <w:r>
        <w:t xml:space="preserve"> </w:t>
      </w:r>
      <w:r>
        <w:t xml:space="preserve">de mon argumentation écrite (2e jet, après la remédiation entre pairs). Le professeur re-code la couleur : je vois mes progrès.</w:t>
      </w:r>
    </w:p>
    <w:bookmarkEnd w:id="52"/>
    <w:bookmarkStart w:id="53" w:name="Xfeee53611fc8070e67ebe848e0055ccf03f5311"/>
    <w:p>
      <w:pPr>
        <w:pStyle w:val="Heading3"/>
      </w:pPr>
      <w:r>
        <w:t xml:space="preserve">Tâche 3.B — SOCLE — Découverte guidée (NON un dilemme) : « Traiter à l’identique produit-il toujours de l’égalité ? »</w:t>
      </w:r>
    </w:p>
    <w:p>
      <w:pPr>
        <w:pStyle w:val="BlockText"/>
      </w:pPr>
      <w:r>
        <w:t xml:space="preserve">Ceci N’EST PAS mis aux voix : c’est une découverte guidée. Une branche (refuser une adaptation imposée par la loi, ex. rendre une sortie accessible à un élève en fauteuil — obligation de la</w:t>
      </w:r>
      <w:r>
        <w:t xml:space="preserve"> </w:t>
      </w:r>
      <w:r>
        <w:rPr>
          <w:bCs/>
          <w:b/>
        </w:rPr>
        <w:t xml:space="preserve">loi du 11 février 2005</w:t>
      </w:r>
      <w:r>
        <w:t xml:space="preserve">) n’est PAS débattable. On ne propose donc pas de grille « les deux positions se valent ».</w:t>
      </w:r>
    </w:p>
    <w:p>
      <w:pPr>
        <w:numPr>
          <w:ilvl w:val="0"/>
          <w:numId w:val="1015"/>
        </w:numPr>
        <w:pStyle w:val="Compact"/>
      </w:pPr>
      <w:r>
        <w:t xml:space="preserve">[DOCUMENT À INSÉRER : une situation FICTIVE simple — ex. « on donne à chaque élève exactement la même paire de lunettes, alors qu’ils ont des vues différentes » — pour faire sentir que « pareil pour tous » n’est pas toujours « juste pour tous ».]</w:t>
      </w:r>
    </w:p>
    <w:p>
      <w:pPr>
        <w:pStyle w:val="FirstParagraph"/>
      </w:pPr>
      <w:r>
        <w:t xml:space="preserve">Consigne guidée : je complète « Donner exactement la même chose à tout le monde est juste quand ______ ; mais ce n’est pas juste quand ______, car certains ont des besoins différents. La loi impose parfois une adaptation (ex. accessibilité, loi de 2005) : ce n’est pas un choix, c’est une obligation. »</w:t>
      </w:r>
    </w:p>
    <w:bookmarkEnd w:id="53"/>
    <w:bookmarkStart w:id="54" w:name="tâche-3.c-approfondissement"/>
    <w:p>
      <w:pPr>
        <w:pStyle w:val="Heading3"/>
      </w:pPr>
      <w:r>
        <w:t xml:space="preserve">Tâche 3.C — ★ APPROFONDISSEMENT</w:t>
      </w:r>
    </w:p>
    <w:p>
      <w:pPr>
        <w:pStyle w:val="FirstParagraph"/>
      </w:pPr>
      <w:r>
        <w:t xml:space="preserve">Je trouve un autre exemple où la loi IMPOSE une adaptation (et n’en fait donc pas un débat), et un exemple où, au contraire, le partage est un vrai choix ouvert.</w:t>
      </w:r>
    </w:p>
    <w:p>
      <w:pPr>
        <w:pStyle w:val="BodyText"/>
      </w:pPr>
      <w:r>
        <w:rPr>
          <w:iCs/>
          <w:i/>
        </w:rPr>
        <w:t xml:space="preserve">(3.A, 3.0, 3.0bis, 3.B : tâches ouvertes ou guidées — pas de corrigé fermé ; grilles dans evaluations.md.)</w:t>
      </w:r>
    </w:p>
    <w:p>
      <w:r>
        <w:pict>
          <v:rect style="width:0;height:1.5pt" o:hralign="center" o:hrstd="t" o:hr="t"/>
        </w:pict>
      </w:r>
    </w:p>
    <w:p>
      <w:r>
        <w:br w:type="page"/>
      </w:r>
    </w:p>
    <w:bookmarkEnd w:id="54"/>
    <w:bookmarkEnd w:id="55"/>
    <w:bookmarkStart w:id="61" w:name="X479efc1cf8c00ea73f7c7c3ad1ff806c8d0c2a4"/>
    <w:p>
      <w:pPr>
        <w:pStyle w:val="Heading2"/>
      </w:pPr>
      <w:r>
        <w:t xml:space="preserve">Mission 4 — Quand l’exclusion a un nom (et un délit)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nommer des formes de discrimination (faire affleurer racisme, antisémitisme, haine anti-LGBT), comprendre le mécanisme stéréotype → préjugé → discrimination, et POSER la base légale propre du harcèlement (distincte de celle de la discrimination).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Construire une culture civique /</w:t>
      </w:r>
      <w:r>
        <w:t xml:space="preserve"> </w:t>
      </w:r>
      <w:r>
        <w:rPr>
          <w:bCs/>
          <w:b/>
        </w:rPr>
        <w:t xml:space="preserve">le droit et la règle</w:t>
      </w:r>
      <w:r>
        <w:t xml:space="preserve">. Compétence dominante : justifier en mobilisant des notions nommées et le droit.</w:t>
      </w:r>
    </w:p>
    <w:p>
      <w:pPr>
        <w:pStyle w:val="BlockText"/>
      </w:pPr>
      <w:r>
        <w:t xml:space="preserve">Deux régimes juridiques DISTINCTS, à ne pas fusionner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Discrimination</w:t>
      </w:r>
      <w:r>
        <w:t xml:space="preserve"> </w:t>
      </w:r>
      <w:r>
        <w:t xml:space="preserve">: Code pénal art. 225-1 / 225-2 ; loi du 27 mai 2008. (Posée en Mission 1.)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Harcèlement scolaire</w:t>
      </w:r>
      <w:r>
        <w:t xml:space="preserve"> </w:t>
      </w:r>
      <w:r>
        <w:t xml:space="preserve">: délit depuis la</w:t>
      </w:r>
      <w:r>
        <w:t xml:space="preserve"> </w:t>
      </w:r>
      <w:r>
        <w:rPr>
          <w:bCs/>
          <w:b/>
        </w:rPr>
        <w:t xml:space="preserve">loi du 2 mars 2022</w:t>
      </w:r>
      <w:r>
        <w:t xml:space="preserve"> </w:t>
      </w:r>
      <w:r>
        <w:t xml:space="preserve">(art. 222-33-2-3 du Code pénal). (Posée ICI.)</w:t>
      </w:r>
      <w:r>
        <w:t xml:space="preserve"> </w:t>
      </w:r>
      <w:r>
        <w:t xml:space="preserve">Ils peuvent se recouper (un harcèlement à caractère discriminatoire) mais n’ont pas la même base légale. On pose les DEUX avant d’en parler.</w:t>
      </w:r>
    </w:p>
    <w:bookmarkStart w:id="57" w:name="X63141aaee16f361374a642bb2d84fe0360e1392"/>
    <w:p>
      <w:pPr>
        <w:pStyle w:val="Heading3"/>
      </w:pPr>
      <w:r>
        <w:t xml:space="preserve">Tâche 4.1 — SOCLE — Le mécanisme et ses noms (FERMÉE, association)</w:t>
      </w:r>
    </w:p>
    <w:p>
      <w:pPr>
        <w:numPr>
          <w:ilvl w:val="0"/>
          <w:numId w:val="1016"/>
        </w:numPr>
        <w:pStyle w:val="Compact"/>
      </w:pPr>
      <w:r>
        <w:t xml:space="preserve">[DOCUMENT À INSÉRER : 3 courts exemples FICTIFS de stéréotypes/préjugés débouchant sur un agissement, à associer à la notion qui le nomme : racisme / antisémitisme / haine anti-LGBT. Cas distanciés, sans viser un élève réel.]</w:t>
      </w:r>
      <w:r>
        <w:t xml:space="preserve"> </w:t>
      </w:r>
      <w:hyperlink r:id="rId56">
        <w:r>
          <w:rPr>
            <w:rStyle w:val="Hyperlink"/>
          </w:rPr>
          <w:t xml:space="preserve">🔎 Rechercher définitions racisme antisémitisme haine anti-LGBT</w:t>
        </w:r>
      </w:hyperlink>
    </w:p>
    <w:p>
      <w:pPr>
        <w:pStyle w:val="FirstParagraph"/>
      </w:pPr>
      <w:r>
        <w:t xml:space="preserve">Trace (gabarit, schéma fléché — la trace EST le schéma) :</w:t>
      </w:r>
    </w:p>
    <w:p>
      <w:pPr>
        <w:pStyle w:val="BodyText"/>
      </w:pPr>
      <w:r>
        <w:rPr>
          <w:bCs/>
          <w:b/>
        </w:rPr>
        <w:t xml:space="preserve">stéréotype</w:t>
      </w:r>
      <w:r>
        <w:t xml:space="preserve"> </w:t>
      </w:r>
      <w:r>
        <w:t xml:space="preserve">(une idée toute faite sur un groupe) →</w:t>
      </w:r>
      <w:r>
        <w:t xml:space="preserve"> </w:t>
      </w:r>
      <w:r>
        <w:rPr>
          <w:bCs/>
          <w:b/>
        </w:rPr>
        <w:t xml:space="preserve">préjugé</w:t>
      </w:r>
      <w:r>
        <w:t xml:space="preserve"> </w:t>
      </w:r>
      <w:r>
        <w:t xml:space="preserve">(un jugement défavorable avant de connaître) →</w:t>
      </w:r>
      <w:r>
        <w:t xml:space="preserve"> </w:t>
      </w:r>
      <w:r>
        <w:rPr>
          <w:bCs/>
          <w:b/>
        </w:rPr>
        <w:t xml:space="preserve">discrimination / agissement</w:t>
      </w:r>
      <w:r>
        <w:t xml:space="preserve"> </w:t>
      </w:r>
      <w:r>
        <w:t xml:space="preserve">(un acte qui exclut, puni par la loi).</w:t>
      </w:r>
    </w:p>
    <w:p>
      <w:pPr>
        <w:pStyle w:val="BodyText"/>
      </w:pPr>
      <w:r>
        <w:t xml:space="preserve">Au socle, je sais nommer au moins</w:t>
      </w:r>
      <w:r>
        <w:t xml:space="preserve"> </w:t>
      </w:r>
      <w:r>
        <w:rPr>
          <w:bCs/>
          <w:b/>
        </w:rPr>
        <w:t xml:space="preserve">trois</w:t>
      </w:r>
      <w:r>
        <w:t xml:space="preserve"> </w:t>
      </w:r>
      <w:r>
        <w:t xml:space="preserve">formes : racisme, antisémitisme, haine anti-LGBT. (Antitsiganisme, xénophobie : ★.)</w:t>
      </w:r>
    </w:p>
    <w:bookmarkEnd w:id="57"/>
    <w:bookmarkStart w:id="58" w:name="Xb551471bff97e7034b0447f4e946525b5d0c855"/>
    <w:p>
      <w:pPr>
        <w:pStyle w:val="Heading3"/>
      </w:pPr>
      <w:r>
        <w:t xml:space="preserve">Tâche 4.2 — SOCLE — Discrimination et harcèlement : deux délits (FERMÉE, classement)</w:t>
      </w:r>
    </w:p>
    <w:p>
      <w:pPr>
        <w:numPr>
          <w:ilvl w:val="0"/>
          <w:numId w:val="1017"/>
        </w:numPr>
        <w:pStyle w:val="Compact"/>
      </w:pPr>
      <w:r>
        <w:t xml:space="preserve">[DOCUMENT À INSÉRER : 4 situations FICTIVES, à classer « relève surtout de la discrimination (art. 225-1/225-2) » / « relève surtout du harcèlement (loi du 2 mars 2022) » / « les deux (harcèlement à caractère discriminatoire) ». Apports juridiques exacts : guide-prof.md.]</w:t>
      </w:r>
    </w:p>
    <w:p>
      <w:pPr>
        <w:pStyle w:val="FirstParagraph"/>
      </w:pPr>
      <w:r>
        <w:t xml:space="preserve">Critère : la</w:t>
      </w:r>
      <w:r>
        <w:t xml:space="preserve"> </w:t>
      </w:r>
      <w:r>
        <w:rPr>
          <w:bCs/>
          <w:b/>
        </w:rPr>
        <w:t xml:space="preserve">discrimination</w:t>
      </w:r>
      <w:r>
        <w:t xml:space="preserve"> </w:t>
      </w:r>
      <w:r>
        <w:t xml:space="preserve">est un traitement défavorable fondé sur un critère interdit ; le</w:t>
      </w:r>
      <w:r>
        <w:t xml:space="preserve"> </w:t>
      </w:r>
      <w:r>
        <w:rPr>
          <w:bCs/>
          <w:b/>
        </w:rPr>
        <w:t xml:space="preserve">harcèlement</w:t>
      </w:r>
      <w:r>
        <w:t xml:space="preserve"> </w:t>
      </w:r>
      <w:r>
        <w:t xml:space="preserve">est la répétition d’actes qui dégradent les conditions de vie de la victime (délit depuis 2022). Un même fait peut relever des deux.</w:t>
      </w:r>
    </w:p>
    <w:bookmarkEnd w:id="58"/>
    <w:bookmarkStart w:id="60" w:name="tâche-4.3-approfondissement"/>
    <w:p>
      <w:pPr>
        <w:pStyle w:val="Heading3"/>
      </w:pPr>
      <w:r>
        <w:t xml:space="preserve">Tâche 4.3 — ★ APPROFONDISSEMENT</w:t>
      </w:r>
    </w:p>
    <w:p>
      <w:pPr>
        <w:numPr>
          <w:ilvl w:val="0"/>
          <w:numId w:val="1018"/>
        </w:numPr>
        <w:pStyle w:val="Compact"/>
      </w:pPr>
      <w:r>
        <w:t xml:space="preserve">[DOCUMENT À INSÉRER : un point sur les discours de haine en ligne — Observatoire de la haine en ligne (ARCOM, loi du 24 juin 2020) ; règlement européen DSA.]</w:t>
      </w:r>
      <w:r>
        <w:t xml:space="preserve"> </w:t>
      </w:r>
      <w:hyperlink r:id="rId59">
        <w:r>
          <w:rPr>
            <w:rStyle w:val="Hyperlink"/>
          </w:rPr>
          <w:t xml:space="preserve">🔎 Rechercher Observatoire haine en ligne ARCOM 2020</w:t>
        </w:r>
      </w:hyperlink>
    </w:p>
    <w:p>
      <w:pPr>
        <w:pStyle w:val="FirstParagraph"/>
      </w:pPr>
      <w:r>
        <w:t xml:space="preserve">J’explique comment « le droit s’adapte » pour lutter contre les discours de haine en ligne (un exemple de plus que « la loi se fait »).</w:t>
      </w:r>
    </w:p>
    <w:p>
      <w:r>
        <w:br w:type="page"/>
      </w:r>
    </w:p>
    <w:bookmarkEnd w:id="60"/>
    <w:bookmarkEnd w:id="61"/>
    <w:bookmarkStart w:id="66" w:name="Xd89961f2acf1fb105221a0cc377a7b2d67cc016"/>
    <w:p>
      <w:pPr>
        <w:pStyle w:val="Heading2"/>
      </w:pPr>
      <w:r>
        <w:t xml:space="preserve">Mission 5 — J’agis : ma proposition pour la classe</w:t>
      </w:r>
    </w:p>
    <w:p>
      <w:pPr>
        <w:pStyle w:val="FirstParagraph"/>
      </w:pPr>
      <w:r>
        <w:rPr>
          <w:bCs/>
          <w:b/>
        </w:rPr>
        <w:t xml:space="preserve">Objectif</w:t>
      </w:r>
      <w:r>
        <w:t xml:space="preserve"> </w:t>
      </w:r>
      <w:r>
        <w:t xml:space="preserve">: transformer ce qui a été compris en une action civique réellement à la portée de l’élève. Réinvestissement, AUCUNE notion nouvelle.</w:t>
      </w:r>
    </w:p>
    <w:p>
      <w:pPr>
        <w:pStyle w:val="BodyText"/>
      </w:pPr>
      <w:r>
        <w:rPr>
          <w:bCs/>
          <w:b/>
        </w:rPr>
        <w:t xml:space="preserve">Finalité / domaine</w:t>
      </w:r>
      <w:r>
        <w:t xml:space="preserve"> </w:t>
      </w:r>
      <w:r>
        <w:t xml:space="preserve">: Construire une culture civique /</w:t>
      </w:r>
      <w:r>
        <w:t xml:space="preserve"> </w:t>
      </w:r>
      <w:r>
        <w:rPr>
          <w:bCs/>
          <w:b/>
        </w:rPr>
        <w:t xml:space="preserve">l’engagement</w:t>
      </w:r>
      <w:r>
        <w:t xml:space="preserve">. Compétence : s’engager, et réinvestir l’argumentation.</w:t>
      </w:r>
    </w:p>
    <w:p>
      <w:pPr>
        <w:pStyle w:val="BlockText"/>
      </w:pPr>
      <w:r>
        <w:t xml:space="preserve">Charge cognitive du dernier créneau : zéro notion neuve. On mobilise et on produit. Une éventuelle synthèse-bilan du chapitre démarre le cours SUIVANT, pas celui-ci.</w:t>
      </w:r>
    </w:p>
    <w:bookmarkStart w:id="63" w:name="Xf2e9b678c5189ea509b5b75bb7f406ec681ae80"/>
    <w:p>
      <w:pPr>
        <w:pStyle w:val="Heading3"/>
      </w:pPr>
      <w:r>
        <w:t xml:space="preserve">Tâche 5.1 — SOCLE — Ma proposition d’action (individuelle ou en binôme)</w:t>
      </w:r>
    </w:p>
    <w:p>
      <w:pPr>
        <w:pStyle w:val="FirstParagraph"/>
      </w:pPr>
      <w:r>
        <w:t xml:space="preserve">Je propose UNE action concrète, à notre portée, pour faire reculer une discrimination ou un stéréotype dans la classe ou l’établissement. Exemples de cadres réels : une proposition au</w:t>
      </w:r>
      <w:r>
        <w:t xml:space="preserve"> </w:t>
      </w:r>
      <w:r>
        <w:rPr>
          <w:bCs/>
          <w:b/>
        </w:rPr>
        <w:t xml:space="preserve">CVC</w:t>
      </w:r>
      <w:r>
        <w:t xml:space="preserve"> </w:t>
      </w:r>
      <w:r>
        <w:t xml:space="preserve">(conseil de la vie collégienne), une action des</w:t>
      </w:r>
      <w:r>
        <w:t xml:space="preserve"> </w:t>
      </w:r>
      <w:r>
        <w:rPr>
          <w:bCs/>
          <w:b/>
        </w:rPr>
        <w:t xml:space="preserve">éco/délégués</w:t>
      </w:r>
      <w:r>
        <w:t xml:space="preserve">, une affiche pour le concours « Non au harcèlement », une charte de classe.</w:t>
      </w:r>
    </w:p>
    <w:p>
      <w:pPr>
        <w:numPr>
          <w:ilvl w:val="0"/>
          <w:numId w:val="1019"/>
        </w:numPr>
        <w:pStyle w:val="Compact"/>
      </w:pPr>
      <w:r>
        <w:t xml:space="preserve">[DOCUMENT À INSÉRER : un exemple FICTIF de proposition d’élève déjà rédigée, comme modèle de format (titre / problème visé / action proposée / qui peut la porter).]</w:t>
      </w:r>
      <w:r>
        <w:t xml:space="preserve"> </w:t>
      </w:r>
      <w:hyperlink r:id="rId62">
        <w:r>
          <w:rPr>
            <w:rStyle w:val="Hyperlink"/>
          </w:rPr>
          <w:t xml:space="preserve">🔎 Rechercher CVC conseil vie collégienne actions élèves</w:t>
        </w:r>
      </w:hyperlink>
    </w:p>
    <w:p>
      <w:pPr>
        <w:pStyle w:val="FirstParagraph"/>
      </w:pPr>
      <w:r>
        <w:t xml:space="preserve">Format attendu (gabarit) 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Problème visé</w:t>
      </w:r>
      <w:r>
        <w:t xml:space="preserve"> </w:t>
      </w:r>
      <w:r>
        <w:t xml:space="preserve">(1 phrase) 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Mon action</w:t>
      </w:r>
      <w:r>
        <w:t xml:space="preserve"> </w:t>
      </w:r>
      <w:r>
        <w:t xml:space="preserve">(1-2 phrases) 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Pourquoi c’est à notre portée</w:t>
      </w:r>
      <w:r>
        <w:t xml:space="preserve"> </w:t>
      </w:r>
      <w:r>
        <w:t xml:space="preserve">(1 phrase) :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Qui peut la porter</w:t>
      </w:r>
      <w:r>
        <w:t xml:space="preserve"> </w:t>
      </w:r>
      <w:r>
        <w:t xml:space="preserve">(délégués / CVC / classe) :</w:t>
      </w:r>
    </w:p>
    <w:p>
      <w:pPr>
        <w:pStyle w:val="FirstParagraph"/>
      </w:pPr>
      <w:r>
        <w:t xml:space="preserve">→ La proposition n’est</w:t>
      </w:r>
      <w:r>
        <w:t xml:space="preserve"> </w:t>
      </w:r>
      <w:r>
        <w:rPr>
          <w:bCs/>
          <w:b/>
        </w:rPr>
        <w:t xml:space="preserve">PAS notée sur l’adhésion</w:t>
      </w:r>
      <w:r>
        <w:t xml:space="preserve"> </w:t>
      </w:r>
      <w:r>
        <w:t xml:space="preserve">ni sur la « bonne intention » : seule sa clarté et sa faisabilité sont regardées (voir evaluations.md).</w:t>
      </w:r>
    </w:p>
    <w:bookmarkEnd w:id="63"/>
    <w:bookmarkStart w:id="64" w:name="Xd87c61a05b656b21c3647c77b1845b9a043ba3d"/>
    <w:p>
      <w:pPr>
        <w:pStyle w:val="Heading3"/>
      </w:pPr>
      <w:r>
        <w:t xml:space="preserve">Tâche 5.2 — SOCLE — Reprise courte « effet test » (FERMÉE, ≈ 5 min)</w:t>
      </w:r>
    </w:p>
    <w:p>
      <w:pPr>
        <w:pStyle w:val="FirstParagraph"/>
      </w:pPr>
      <w:r>
        <w:t xml:space="preserve">Mini-quiz de récupération sur le SOCLE (espacé) :</w:t>
      </w:r>
    </w:p>
    <w:p>
      <w:pPr>
        <w:numPr>
          <w:ilvl w:val="0"/>
          <w:numId w:val="1021"/>
        </w:numPr>
        <w:pStyle w:val="Compact"/>
      </w:pPr>
      <w:r>
        <w:t xml:space="preserve">Une discrimination, est-ce une simple différence ? (oui / non)</w:t>
      </w:r>
    </w:p>
    <w:p>
      <w:pPr>
        <w:numPr>
          <w:ilvl w:val="0"/>
          <w:numId w:val="1021"/>
        </w:numPr>
        <w:pStyle w:val="Compact"/>
      </w:pPr>
      <w:r>
        <w:t xml:space="preserve">Cite un critère interdit par la loi : ______</w:t>
      </w:r>
    </w:p>
    <w:p>
      <w:pPr>
        <w:numPr>
          <w:ilvl w:val="0"/>
          <w:numId w:val="1021"/>
        </w:numPr>
        <w:pStyle w:val="Compact"/>
      </w:pPr>
      <w:r>
        <w:t xml:space="preserve">Une discrimination est un… (délit / opinion)</w:t>
      </w:r>
    </w:p>
    <w:p>
      <w:pPr>
        <w:numPr>
          <w:ilvl w:val="0"/>
          <w:numId w:val="1021"/>
        </w:numPr>
        <w:pStyle w:val="Compact"/>
      </w:pPr>
      <w:r>
        <w:t xml:space="preserve">Qui peut-on saisir ? ______</w:t>
      </w:r>
    </w:p>
    <w:p>
      <w:pPr>
        <w:numPr>
          <w:ilvl w:val="0"/>
          <w:numId w:val="1021"/>
        </w:numPr>
        <w:pStyle w:val="Compact"/>
      </w:pPr>
      <w:r>
        <w:t xml:space="preserve">L’égalité femmes-hommes a-t-elle toujours existé en droit ? (oui / non)</w:t>
      </w:r>
    </w:p>
    <w:bookmarkEnd w:id="64"/>
    <w:bookmarkStart w:id="65" w:name="tâche-5.3-approfondissement"/>
    <w:p>
      <w:pPr>
        <w:pStyle w:val="Heading3"/>
      </w:pPr>
      <w:r>
        <w:t xml:space="preserve">Tâche 5.3 — ★ APPROFONDISSEMENT</w:t>
      </w:r>
    </w:p>
    <w:p>
      <w:pPr>
        <w:pStyle w:val="FirstParagraph"/>
      </w:pPr>
      <w:r>
        <w:t xml:space="preserve">Je compare mes « 3 mots » du début (Mission 0) avec ce que je sais maintenant, et j’écris ce qui a changé dans ma façon de voir.</w:t>
      </w:r>
    </w:p>
    <w:bookmarkEnd w:id="65"/>
    <w:bookmarkEnd w:id="66"/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URL" TargetMode="External" /><Relationship Type="http://schemas.openxmlformats.org/officeDocument/2006/relationships/hyperlink" Id="rId62" Target="https://duckduckgo.com/?q=CVC+conseil+vie+collegienne+actions+eleves+discriminations" TargetMode="External" /><Relationship Type="http://schemas.openxmlformats.org/officeDocument/2006/relationships/hyperlink" Id="rId37" Target="https://duckduckgo.com/?q=Defenseur+des+droits+discrimination+emploi+decision" TargetMode="External" /><Relationship Type="http://schemas.openxmlformats.org/officeDocument/2006/relationships/hyperlink" Id="rId42" Target="https://duckduckgo.com/?q=INSEE+ecart+salaire+femmes+hommes+pourcentage" TargetMode="External" /><Relationship Type="http://schemas.openxmlformats.org/officeDocument/2006/relationships/hyperlink" Id="rId43" Target="https://duckduckgo.com/?q=INSEE+repartition+femmes+hommes+metiers+orientation+filles+garcons" TargetMode="External" /><Relationship Type="http://schemas.openxmlformats.org/officeDocument/2006/relationships/hyperlink" Id="rId59" Target="https://duckduckgo.com/?q=Observatoire+haine+en+ligne+ARCOM+loi+24+juin+2020" TargetMode="External" /><Relationship Type="http://schemas.openxmlformats.org/officeDocument/2006/relationships/hyperlink" Id="rId35" Target="https://duckduckgo.com/?q=article+225-1+code+penal+legifrance+discrimination" TargetMode="External" /><Relationship Type="http://schemas.openxmlformats.org/officeDocument/2006/relationships/hyperlink" Id="rId29" Target="https://duckduckgo.com/?q=campagne+lutte+contre+les+discriminations+affiche+gouvernement" TargetMode="External" /><Relationship Type="http://schemas.openxmlformats.org/officeDocument/2006/relationships/hyperlink" Id="rId56" Target="https://duckduckgo.com/?q=definition+racisme+antisemitisme+haine+anti+LGBT+education" TargetMode="External" /><Relationship Type="http://schemas.openxmlformats.org/officeDocument/2006/relationships/hyperlink" Id="rId40" Target="https://duckduckgo.com/?q=droit+de+vote+des+femmes+France+1944+ordonnance" TargetMode="External" /><Relationship Type="http://schemas.openxmlformats.org/officeDocument/2006/relationships/hyperlink" Id="rId50" Target="https://duckduckgo.com/?q=egalite+equite+difference+schema+pedagogie" TargetMode="External" /><Relationship Type="http://schemas.openxmlformats.org/officeDocument/2006/relationships/hyperlink" Id="rId46" Target="https://duckduckgo.com/?q=loi+parite+2000+egalite+femmes+hommes+da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URL" TargetMode="External" /><Relationship Type="http://schemas.openxmlformats.org/officeDocument/2006/relationships/hyperlink" Id="rId62" Target="https://duckduckgo.com/?q=CVC+conseil+vie+collegienne+actions+eleves+discriminations" TargetMode="External" /><Relationship Type="http://schemas.openxmlformats.org/officeDocument/2006/relationships/hyperlink" Id="rId37" Target="https://duckduckgo.com/?q=Defenseur+des+droits+discrimination+emploi+decision" TargetMode="External" /><Relationship Type="http://schemas.openxmlformats.org/officeDocument/2006/relationships/hyperlink" Id="rId42" Target="https://duckduckgo.com/?q=INSEE+ecart+salaire+femmes+hommes+pourcentage" TargetMode="External" /><Relationship Type="http://schemas.openxmlformats.org/officeDocument/2006/relationships/hyperlink" Id="rId43" Target="https://duckduckgo.com/?q=INSEE+repartition+femmes+hommes+metiers+orientation+filles+garcons" TargetMode="External" /><Relationship Type="http://schemas.openxmlformats.org/officeDocument/2006/relationships/hyperlink" Id="rId59" Target="https://duckduckgo.com/?q=Observatoire+haine+en+ligne+ARCOM+loi+24+juin+2020" TargetMode="External" /><Relationship Type="http://schemas.openxmlformats.org/officeDocument/2006/relationships/hyperlink" Id="rId35" Target="https://duckduckgo.com/?q=article+225-1+code+penal+legifrance+discrimination" TargetMode="External" /><Relationship Type="http://schemas.openxmlformats.org/officeDocument/2006/relationships/hyperlink" Id="rId29" Target="https://duckduckgo.com/?q=campagne+lutte+contre+les+discriminations+affiche+gouvernement" TargetMode="External" /><Relationship Type="http://schemas.openxmlformats.org/officeDocument/2006/relationships/hyperlink" Id="rId56" Target="https://duckduckgo.com/?q=definition+racisme+antisemitisme+haine+anti+LGBT+education" TargetMode="External" /><Relationship Type="http://schemas.openxmlformats.org/officeDocument/2006/relationships/hyperlink" Id="rId40" Target="https://duckduckgo.com/?q=droit+de+vote+des+femmes+France+1944+ordonnance" TargetMode="External" /><Relationship Type="http://schemas.openxmlformats.org/officeDocument/2006/relationships/hyperlink" Id="rId50" Target="https://duckduckgo.com/?q=egalite+equite+difference+schema+pedagogie" TargetMode="External" /><Relationship Type="http://schemas.openxmlformats.org/officeDocument/2006/relationships/hyperlink" Id="rId46" Target="https://duckduckgo.com/?q=loi+parite+2000+egalite+femmes+hommes+da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L’égalité et la lutte contre les discriminations — plan de travail autonome</dc:title>
  <dc:creator/>
  <dc:language>fr-FR</dc:language>
  <cp:keywords/>
  <dcterms:created xsi:type="dcterms:W3CDTF">2026-06-22T21:30:43Z</dcterms:created>
  <dcterms:modified xsi:type="dcterms:W3CDTF">2026-06-22T21:30:43Z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EMC 5e · Version élève</vt:lpwstr>
  </property>
</Properties>
</file>